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754D62">
      <w:pPr>
        <w:spacing w:after="159" w:afterLines="50"/>
        <w:jc w:val="center"/>
        <w:rPr>
          <w:rFonts w:eastAsia="华文中宋"/>
          <w:b/>
          <w:sz w:val="36"/>
          <w:szCs w:val="36"/>
        </w:rPr>
      </w:pPr>
      <w:r>
        <w:rPr>
          <w:rFonts w:hint="eastAsia" w:eastAsia="华文中宋"/>
          <w:b/>
          <w:sz w:val="36"/>
          <w:szCs w:val="36"/>
        </w:rPr>
        <w:t>Shanghai Donghai Vocational and Technical College</w:t>
      </w:r>
    </w:p>
    <w:p w14:paraId="4E268477">
      <w:pPr>
        <w:jc w:val="center"/>
        <w:rPr>
          <w:sz w:val="24"/>
          <w:u w:val="single"/>
        </w:rPr>
      </w:pPr>
      <w:r>
        <w:rPr>
          <w:rFonts w:hint="eastAsia"/>
          <w:sz w:val="24"/>
        </w:rPr>
        <w:t>Approval Date of by</w:t>
      </w:r>
      <w:r>
        <w:rPr>
          <w:rFonts w:hint="eastAsia"/>
          <w:sz w:val="28"/>
          <w:szCs w:val="28"/>
          <w:u w:val="single"/>
        </w:rPr>
        <w:t xml:space="preserve">  Shanghai Donghai Vocational and Technical College  </w:t>
      </w:r>
      <w:r>
        <w:rPr>
          <w:rFonts w:hint="eastAsia"/>
          <w:sz w:val="24"/>
        </w:rPr>
        <w:t>Approval Year</w:t>
      </w:r>
      <w:r>
        <w:rPr>
          <w:rFonts w:hint="eastAsia"/>
          <w:sz w:val="28"/>
          <w:szCs w:val="28"/>
          <w:u w:val="single"/>
        </w:rPr>
        <w:t xml:space="preserve">  202</w:t>
      </w:r>
      <w:r>
        <w:rPr>
          <w:rFonts w:hint="eastAsia"/>
          <w:sz w:val="28"/>
          <w:szCs w:val="28"/>
          <w:u w:val="single"/>
          <w:lang w:val="en-US" w:eastAsia="zh-CN"/>
        </w:rPr>
        <w:t>5</w:t>
      </w:r>
      <w:r>
        <w:rPr>
          <w:rFonts w:hint="eastAsia"/>
          <w:sz w:val="28"/>
          <w:szCs w:val="28"/>
          <w:u w:val="single"/>
        </w:rPr>
        <w:t xml:space="preserve">  </w:t>
      </w:r>
      <w:r>
        <w:rPr>
          <w:rFonts w:hint="eastAsia"/>
          <w:sz w:val="24"/>
        </w:rPr>
        <w:t>Month</w:t>
      </w:r>
      <w:r>
        <w:rPr>
          <w:rFonts w:hint="eastAsia"/>
          <w:sz w:val="28"/>
          <w:szCs w:val="28"/>
          <w:u w:val="single"/>
        </w:rPr>
        <w:t xml:space="preserve">   </w:t>
      </w:r>
      <w:r>
        <w:rPr>
          <w:rFonts w:hint="eastAsia"/>
          <w:sz w:val="28"/>
          <w:szCs w:val="28"/>
          <w:u w:val="single"/>
          <w:lang w:val="en-US" w:eastAsia="zh-CN"/>
        </w:rPr>
        <w:t>9</w:t>
      </w:r>
      <w:r>
        <w:rPr>
          <w:rFonts w:hint="eastAsia"/>
          <w:sz w:val="28"/>
          <w:szCs w:val="28"/>
          <w:u w:val="single"/>
        </w:rPr>
        <w:t xml:space="preserve">   </w:t>
      </w:r>
      <w:r>
        <w:rPr>
          <w:rFonts w:hint="eastAsia"/>
          <w:sz w:val="24"/>
        </w:rPr>
        <w:t>Day</w:t>
      </w:r>
      <w:r>
        <w:rPr>
          <w:rFonts w:hint="eastAsia"/>
          <w:sz w:val="24"/>
          <w:u w:val="single"/>
        </w:rPr>
        <w:t xml:space="preserve">   </w:t>
      </w:r>
      <w:r>
        <w:rPr>
          <w:rFonts w:hint="eastAsia"/>
          <w:sz w:val="24"/>
          <w:u w:val="single"/>
          <w:lang w:val="en-US" w:eastAsia="zh-CN"/>
        </w:rPr>
        <w:t>20</w:t>
      </w:r>
      <w:r>
        <w:rPr>
          <w:rFonts w:hint="eastAsia"/>
          <w:sz w:val="24"/>
          <w:u w:val="single"/>
        </w:rPr>
        <w:t xml:space="preserve">   </w:t>
      </w:r>
    </w:p>
    <w:p w14:paraId="36B4973B">
      <w:pPr>
        <w:spacing w:before="159" w:beforeLines="50" w:after="159" w:afterLines="50"/>
        <w:jc w:val="center"/>
        <w:rPr>
          <w:b/>
          <w:sz w:val="36"/>
          <w:szCs w:val="36"/>
        </w:rPr>
      </w:pPr>
      <w:r>
        <w:rPr>
          <w:rFonts w:hint="eastAsia"/>
          <w:b/>
          <w:sz w:val="36"/>
          <w:szCs w:val="36"/>
        </w:rPr>
        <w:t>Course Syllabus</w:t>
      </w:r>
    </w:p>
    <w:p w14:paraId="491A8FA5">
      <w:pPr>
        <w:spacing w:before="159" w:beforeLines="50" w:after="159" w:afterLines="50"/>
        <w:rPr>
          <w:b/>
          <w:bCs/>
          <w:sz w:val="18"/>
          <w:szCs w:val="18"/>
        </w:rPr>
      </w:pPr>
      <w:r>
        <w:rPr>
          <w:rFonts w:hint="eastAsia"/>
          <w:b/>
          <w:bCs/>
          <w:sz w:val="18"/>
          <w:szCs w:val="18"/>
        </w:rPr>
        <w:t xml:space="preserve">Course: 'AI + Tariff Classification' </w:t>
      </w:r>
      <w:bookmarkStart w:id="0" w:name="OLE_LINK2"/>
      <w:bookmarkEnd w:id="0"/>
      <w:bookmarkStart w:id="1" w:name="OLE_LINK3"/>
      <w:bookmarkEnd w:id="1"/>
      <w:r>
        <w:rPr>
          <w:b/>
          <w:bCs/>
          <w:sz w:val="18"/>
          <w:szCs w:val="18"/>
        </w:rPr>
        <w:t xml:space="preserve">, </w:t>
      </w:r>
      <w:r>
        <w:rPr>
          <w:rFonts w:hint="eastAsia"/>
          <w:b/>
          <w:bCs/>
          <w:sz w:val="18"/>
          <w:szCs w:val="18"/>
        </w:rPr>
        <w:t xml:space="preserve">Type: Exam (Exam, Assessment, Elective) </w:t>
      </w:r>
      <w:r>
        <w:rPr>
          <w:b/>
          <w:bCs/>
          <w:sz w:val="18"/>
          <w:szCs w:val="18"/>
        </w:rPr>
        <w:t xml:space="preserve">,  </w:t>
      </w:r>
      <w:r>
        <w:rPr>
          <w:rFonts w:hint="eastAsia"/>
          <w:b/>
          <w:bCs/>
          <w:sz w:val="18"/>
          <w:szCs w:val="18"/>
        </w:rPr>
        <w:t>Class: Customs Affairs 22501/22502</w:t>
      </w:r>
      <w:r>
        <w:rPr>
          <w:b/>
          <w:bCs/>
          <w:sz w:val="18"/>
          <w:szCs w:val="18"/>
        </w:rPr>
        <w:t xml:space="preserve">  </w:t>
      </w:r>
      <w:r>
        <w:rPr>
          <w:rFonts w:hint="eastAsia"/>
          <w:b/>
          <w:bCs/>
          <w:sz w:val="18"/>
          <w:szCs w:val="18"/>
        </w:rPr>
        <w:t>2025/2026 Academic</w:t>
      </w:r>
      <w:r>
        <w:rPr>
          <w:b/>
          <w:bCs/>
          <w:sz w:val="18"/>
          <w:szCs w:val="18"/>
        </w:rPr>
        <w:t xml:space="preserve"> </w:t>
      </w:r>
      <w:r>
        <w:rPr>
          <w:rFonts w:hint="eastAsia"/>
          <w:b/>
          <w:bCs/>
          <w:sz w:val="18"/>
          <w:szCs w:val="18"/>
        </w:rPr>
        <w:t>Year First Class Semester</w:t>
      </w:r>
    </w:p>
    <w:tbl>
      <w:tblPr>
        <w:tblStyle w:val="5"/>
        <w:tblW w:w="158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876"/>
        <w:gridCol w:w="690"/>
        <w:gridCol w:w="580"/>
        <w:gridCol w:w="841"/>
        <w:gridCol w:w="787"/>
        <w:gridCol w:w="906"/>
        <w:gridCol w:w="680"/>
        <w:gridCol w:w="640"/>
        <w:gridCol w:w="600"/>
        <w:gridCol w:w="640"/>
        <w:gridCol w:w="707"/>
        <w:gridCol w:w="889"/>
        <w:gridCol w:w="373"/>
        <w:gridCol w:w="271"/>
        <w:gridCol w:w="666"/>
        <w:gridCol w:w="580"/>
        <w:gridCol w:w="942"/>
        <w:gridCol w:w="691"/>
        <w:gridCol w:w="581"/>
        <w:gridCol w:w="666"/>
        <w:gridCol w:w="893"/>
        <w:gridCol w:w="692"/>
      </w:tblGrid>
      <w:tr w14:paraId="54C27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83" w:type="dxa"/>
            <w:vMerge w:val="restart"/>
            <w:vAlign w:val="center"/>
          </w:tcPr>
          <w:p w14:paraId="1B058549">
            <w:pPr>
              <w:jc w:val="center"/>
              <w:rPr>
                <w:sz w:val="18"/>
                <w:szCs w:val="18"/>
              </w:rPr>
            </w:pPr>
            <w:r>
              <w:rPr>
                <w:rFonts w:hint="eastAsia"/>
                <w:sz w:val="18"/>
                <w:szCs w:val="18"/>
              </w:rPr>
              <w:t>Basic</w:t>
            </w:r>
          </w:p>
          <w:p w14:paraId="3DD6FAEA">
            <w:pPr>
              <w:jc w:val="center"/>
              <w:rPr>
                <w:sz w:val="13"/>
                <w:szCs w:val="13"/>
              </w:rPr>
            </w:pPr>
            <w:r>
              <w:rPr>
                <w:rFonts w:hint="eastAsia"/>
                <w:sz w:val="18"/>
                <w:szCs w:val="18"/>
              </w:rPr>
              <w:t>Info</w:t>
            </w:r>
            <w:r>
              <w:rPr>
                <w:sz w:val="18"/>
                <w:szCs w:val="18"/>
              </w:rPr>
              <w:t>.</w:t>
            </w:r>
          </w:p>
        </w:tc>
        <w:tc>
          <w:tcPr>
            <w:tcW w:w="1566" w:type="dxa"/>
            <w:gridSpan w:val="2"/>
            <w:vAlign w:val="center"/>
          </w:tcPr>
          <w:p w14:paraId="7B64C217">
            <w:pPr>
              <w:jc w:val="center"/>
              <w:rPr>
                <w:sz w:val="18"/>
                <w:szCs w:val="18"/>
              </w:rPr>
            </w:pPr>
            <w:r>
              <w:rPr>
                <w:sz w:val="18"/>
                <w:szCs w:val="18"/>
              </w:rPr>
              <w:t xml:space="preserve">Course Standard &amp; Approval </w:t>
            </w:r>
          </w:p>
        </w:tc>
        <w:tc>
          <w:tcPr>
            <w:tcW w:w="7643" w:type="dxa"/>
            <w:gridSpan w:val="11"/>
            <w:vAlign w:val="center"/>
          </w:tcPr>
          <w:p w14:paraId="4443DD1F">
            <w:pPr>
              <w:jc w:val="center"/>
              <w:rPr>
                <w:rFonts w:hint="eastAsia"/>
                <w:sz w:val="18"/>
                <w:szCs w:val="18"/>
              </w:rPr>
            </w:pPr>
            <w:r>
              <w:rPr>
                <w:rFonts w:hint="eastAsia"/>
                <w:sz w:val="18"/>
                <w:szCs w:val="18"/>
              </w:rPr>
              <w:t xml:space="preserve"> "AI + </w:t>
            </w:r>
            <w:r>
              <w:rPr>
                <w:rFonts w:hint="eastAsia"/>
                <w:sz w:val="18"/>
                <w:szCs w:val="18"/>
                <w:lang w:val="en-US" w:eastAsia="zh-CN"/>
              </w:rPr>
              <w:t>Tarrif</w:t>
            </w:r>
            <w:r>
              <w:rPr>
                <w:rFonts w:hint="eastAsia"/>
                <w:sz w:val="18"/>
                <w:szCs w:val="18"/>
              </w:rPr>
              <w:t xml:space="preserve"> Classification" </w:t>
            </w:r>
          </w:p>
          <w:p w14:paraId="6180FC99">
            <w:pPr>
              <w:jc w:val="center"/>
              <w:rPr>
                <w:sz w:val="18"/>
                <w:szCs w:val="18"/>
              </w:rPr>
            </w:pPr>
            <w:r>
              <w:rPr>
                <w:rFonts w:hint="eastAsia"/>
                <w:sz w:val="18"/>
                <w:szCs w:val="18"/>
              </w:rPr>
              <w:t>Shanghai Donghai Vocational and Technical College  2025.6.30</w:t>
            </w:r>
          </w:p>
        </w:tc>
        <w:tc>
          <w:tcPr>
            <w:tcW w:w="3150" w:type="dxa"/>
            <w:gridSpan w:val="5"/>
            <w:vMerge w:val="restart"/>
            <w:vAlign w:val="center"/>
          </w:tcPr>
          <w:p w14:paraId="2C676209">
            <w:pPr>
              <w:jc w:val="center"/>
              <w:rPr>
                <w:sz w:val="18"/>
                <w:szCs w:val="18"/>
              </w:rPr>
            </w:pPr>
            <w:r>
              <w:rPr>
                <w:rFonts w:hint="eastAsia"/>
                <w:sz w:val="18"/>
                <w:szCs w:val="18"/>
              </w:rPr>
              <w:t>Semester Teaching Content</w:t>
            </w:r>
          </w:p>
        </w:tc>
        <w:tc>
          <w:tcPr>
            <w:tcW w:w="2832" w:type="dxa"/>
            <w:gridSpan w:val="4"/>
            <w:vMerge w:val="restart"/>
            <w:vAlign w:val="center"/>
          </w:tcPr>
          <w:p w14:paraId="03C74BC2">
            <w:pPr>
              <w:jc w:val="center"/>
              <w:rPr>
                <w:rFonts w:hint="eastAsia" w:eastAsia="宋体"/>
                <w:sz w:val="18"/>
                <w:szCs w:val="18"/>
                <w:lang w:eastAsia="zh-CN"/>
              </w:rPr>
            </w:pPr>
            <w:r>
              <w:rPr>
                <w:rFonts w:hint="eastAsia"/>
                <w:sz w:val="18"/>
                <w:szCs w:val="18"/>
              </w:rPr>
              <w:t>1–21 Sections of commodit</w:t>
            </w:r>
            <w:r>
              <w:rPr>
                <w:rFonts w:hint="eastAsia"/>
                <w:sz w:val="18"/>
                <w:szCs w:val="18"/>
                <w:lang w:val="en-US" w:eastAsia="zh-CN"/>
              </w:rPr>
              <w:t>ies</w:t>
            </w:r>
          </w:p>
          <w:p w14:paraId="1528AEB1">
            <w:pPr>
              <w:jc w:val="center"/>
              <w:rPr>
                <w:sz w:val="18"/>
                <w:szCs w:val="18"/>
              </w:rPr>
            </w:pPr>
            <w:r>
              <w:rPr>
                <w:rFonts w:hint="eastAsia"/>
                <w:sz w:val="18"/>
                <w:szCs w:val="18"/>
              </w:rPr>
              <w:t>Chapters 1–92</w:t>
            </w:r>
          </w:p>
        </w:tc>
      </w:tr>
      <w:tr w14:paraId="2CB86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83" w:type="dxa"/>
            <w:vMerge w:val="continue"/>
          </w:tcPr>
          <w:p w14:paraId="42835440">
            <w:pPr>
              <w:jc w:val="left"/>
              <w:rPr>
                <w:sz w:val="13"/>
                <w:szCs w:val="13"/>
                <w:u w:val="single"/>
              </w:rPr>
            </w:pPr>
          </w:p>
        </w:tc>
        <w:tc>
          <w:tcPr>
            <w:tcW w:w="1566" w:type="dxa"/>
            <w:gridSpan w:val="2"/>
            <w:vAlign w:val="center"/>
          </w:tcPr>
          <w:p w14:paraId="4343EAD3">
            <w:pPr>
              <w:jc w:val="center"/>
              <w:rPr>
                <w:sz w:val="18"/>
                <w:szCs w:val="18"/>
              </w:rPr>
            </w:pPr>
            <w:r>
              <w:rPr>
                <w:sz w:val="18"/>
                <w:szCs w:val="18"/>
              </w:rPr>
              <w:t>Textbook Name &amp; Author/Publisher</w:t>
            </w:r>
          </w:p>
        </w:tc>
        <w:tc>
          <w:tcPr>
            <w:tcW w:w="7643" w:type="dxa"/>
            <w:gridSpan w:val="11"/>
            <w:vAlign w:val="center"/>
          </w:tcPr>
          <w:p w14:paraId="1F9476BF">
            <w:pPr>
              <w:jc w:val="center"/>
              <w:rPr>
                <w:sz w:val="18"/>
                <w:szCs w:val="18"/>
              </w:rPr>
            </w:pPr>
            <w:r>
              <w:rPr>
                <w:sz w:val="18"/>
                <w:szCs w:val="18"/>
              </w:rPr>
              <w:t>*Case Analysis of Compliance and Remedies in Cross-Border Trade*; Lin Qian; China Customs Press</w:t>
            </w:r>
          </w:p>
          <w:p w14:paraId="3FC99664">
            <w:pPr>
              <w:jc w:val="center"/>
              <w:rPr>
                <w:sz w:val="18"/>
                <w:szCs w:val="18"/>
              </w:rPr>
            </w:pPr>
            <w:r>
              <w:rPr>
                <w:sz w:val="18"/>
                <w:szCs w:val="18"/>
              </w:rPr>
              <w:t>*</w:t>
            </w:r>
            <w:r>
              <w:rPr>
                <w:rFonts w:hint="eastAsia"/>
                <w:sz w:val="18"/>
                <w:szCs w:val="18"/>
              </w:rPr>
              <w:t>The Import and Export Commodity Code Query Manual (2025 Edition)</w:t>
            </w:r>
            <w:r>
              <w:rPr>
                <w:sz w:val="18"/>
                <w:szCs w:val="18"/>
              </w:rPr>
              <w:t>*</w:t>
            </w:r>
            <w:r>
              <w:rPr>
                <w:rFonts w:hint="eastAsia"/>
                <w:sz w:val="18"/>
                <w:szCs w:val="18"/>
              </w:rPr>
              <w:t xml:space="preserve">, compiled by the China Customs Declaration Association </w:t>
            </w:r>
            <w:r>
              <w:rPr>
                <w:rFonts w:hint="eastAsia"/>
                <w:sz w:val="18"/>
                <w:szCs w:val="18"/>
                <w:lang w:eastAsia="zh-CN"/>
              </w:rPr>
              <w:t>，</w:t>
            </w:r>
            <w:r>
              <w:rPr>
                <w:rFonts w:hint="eastAsia"/>
                <w:sz w:val="18"/>
                <w:szCs w:val="18"/>
              </w:rPr>
              <w:t>published by China Customs Press, serves as a textbook for Customs Affairs proficiency testing.</w:t>
            </w:r>
          </w:p>
        </w:tc>
        <w:tc>
          <w:tcPr>
            <w:tcW w:w="3150" w:type="dxa"/>
            <w:gridSpan w:val="5"/>
            <w:vMerge w:val="continue"/>
          </w:tcPr>
          <w:p w14:paraId="1D9C4BEA">
            <w:pPr>
              <w:jc w:val="center"/>
              <w:rPr>
                <w:sz w:val="13"/>
                <w:szCs w:val="13"/>
                <w:u w:val="single"/>
              </w:rPr>
            </w:pPr>
          </w:p>
        </w:tc>
        <w:tc>
          <w:tcPr>
            <w:tcW w:w="2832" w:type="dxa"/>
            <w:gridSpan w:val="4"/>
            <w:vMerge w:val="continue"/>
          </w:tcPr>
          <w:p w14:paraId="10191146">
            <w:pPr>
              <w:jc w:val="center"/>
              <w:rPr>
                <w:sz w:val="13"/>
                <w:szCs w:val="13"/>
                <w:u w:val="single"/>
              </w:rPr>
            </w:pPr>
          </w:p>
        </w:tc>
      </w:tr>
      <w:tr w14:paraId="6CE9B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683" w:type="dxa"/>
            <w:vMerge w:val="continue"/>
          </w:tcPr>
          <w:p w14:paraId="392AF11E">
            <w:pPr>
              <w:jc w:val="left"/>
              <w:rPr>
                <w:sz w:val="13"/>
                <w:szCs w:val="13"/>
                <w:u w:val="single"/>
              </w:rPr>
            </w:pPr>
          </w:p>
        </w:tc>
        <w:tc>
          <w:tcPr>
            <w:tcW w:w="876" w:type="dxa"/>
            <w:vMerge w:val="restart"/>
            <w:vAlign w:val="center"/>
          </w:tcPr>
          <w:p w14:paraId="3F70D255">
            <w:pPr>
              <w:jc w:val="center"/>
              <w:rPr>
                <w:sz w:val="18"/>
                <w:szCs w:val="18"/>
                <w:u w:val="single"/>
              </w:rPr>
            </w:pPr>
          </w:p>
          <w:p w14:paraId="6641D6D3">
            <w:pPr>
              <w:jc w:val="center"/>
              <w:rPr>
                <w:sz w:val="13"/>
                <w:szCs w:val="13"/>
                <w:u w:val="single"/>
              </w:rPr>
            </w:pPr>
            <w:r>
              <w:rPr>
                <w:rFonts w:hint="eastAsia"/>
                <w:sz w:val="18"/>
                <w:szCs w:val="18"/>
              </w:rPr>
              <w:t>Time Allocation</w:t>
            </w:r>
          </w:p>
        </w:tc>
        <w:tc>
          <w:tcPr>
            <w:tcW w:w="690" w:type="dxa"/>
            <w:vMerge w:val="restart"/>
          </w:tcPr>
          <w:p w14:paraId="06DB5597">
            <w:pPr>
              <w:ind w:firstLine="150" w:firstLineChars="100"/>
              <w:jc w:val="left"/>
              <w:rPr>
                <w:sz w:val="15"/>
                <w:szCs w:val="15"/>
              </w:rPr>
            </w:pPr>
            <w:r>
              <w:rPr>
                <w:rFonts w:hint="eastAsia"/>
                <w:sz w:val="15"/>
                <w:szCs w:val="15"/>
              </w:rPr>
              <mc:AlternateContent>
                <mc:Choice Requires="wps">
                  <w:drawing>
                    <wp:anchor distT="0" distB="0" distL="114300" distR="114300" simplePos="0" relativeHeight="251659264" behindDoc="0" locked="0" layoutInCell="1" allowOverlap="1">
                      <wp:simplePos x="0" y="0"/>
                      <wp:positionH relativeFrom="column">
                        <wp:posOffset>-55245</wp:posOffset>
                      </wp:positionH>
                      <wp:positionV relativeFrom="paragraph">
                        <wp:posOffset>-7620</wp:posOffset>
                      </wp:positionV>
                      <wp:extent cx="421005" cy="639445"/>
                      <wp:effectExtent l="5080" t="3175" r="5715" b="17780"/>
                      <wp:wrapNone/>
                      <wp:docPr id="1" name="直接连接符 1"/>
                      <wp:cNvGraphicFramePr/>
                      <a:graphic xmlns:a="http://schemas.openxmlformats.org/drawingml/2006/main">
                        <a:graphicData uri="http://schemas.microsoft.com/office/word/2010/wordprocessingShape">
                          <wps:wsp>
                            <wps:cNvCnPr/>
                            <wps:spPr>
                              <a:xfrm>
                                <a:off x="0" y="0"/>
                                <a:ext cx="421005" cy="63944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4.35pt;margin-top:-0.6pt;height:50.35pt;width:33.15pt;z-index:251659264;mso-width-relative:page;mso-height-relative:page;" filled="f" stroked="t" coordsize="21600,21600" o:gfxdata="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JbJmE9YAAAAHAQAADwAAAAAAAAABACAAAAAiAAAAZHJzL2Rvd25yZXYueG1sUEsBAhQAFAAAAAgA&#10;h07iQLFTcuLuAQAA3AMAAA4AAAAAAAAAAQAgAAAAJQEAAGRycy9lMm9Eb2MueG1sUEsFBgAAAAAG&#10;AAYAWQEAAIUFAAAAAA==&#10;">
                      <v:fill on="f" focussize="0,0"/>
                      <v:stroke color="#000000" joinstyle="round"/>
                      <v:imagedata o:title=""/>
                      <o:lock v:ext="edit" aspectratio="f"/>
                    </v:line>
                  </w:pict>
                </mc:Fallback>
              </mc:AlternateContent>
            </w:r>
            <w:r>
              <w:rPr>
                <w:rFonts w:hint="eastAsia"/>
                <w:sz w:val="15"/>
                <w:szCs w:val="15"/>
              </w:rPr>
              <w:t xml:space="preserve">Item </w:t>
            </w:r>
          </w:p>
          <w:p w14:paraId="276F3BC7">
            <w:pPr>
              <w:jc w:val="left"/>
              <w:rPr>
                <w:sz w:val="15"/>
                <w:szCs w:val="15"/>
              </w:rPr>
            </w:pPr>
          </w:p>
          <w:p w14:paraId="7155046D">
            <w:pPr>
              <w:jc w:val="left"/>
              <w:rPr>
                <w:sz w:val="15"/>
                <w:szCs w:val="15"/>
              </w:rPr>
            </w:pPr>
          </w:p>
          <w:p w14:paraId="6597C035">
            <w:pPr>
              <w:jc w:val="left"/>
              <w:rPr>
                <w:sz w:val="15"/>
                <w:szCs w:val="15"/>
              </w:rPr>
            </w:pPr>
          </w:p>
          <w:p w14:paraId="09B59FC7">
            <w:pPr>
              <w:jc w:val="left"/>
              <w:rPr>
                <w:sz w:val="13"/>
                <w:szCs w:val="13"/>
              </w:rPr>
            </w:pPr>
            <w:r>
              <w:rPr>
                <w:rFonts w:hint="eastAsia"/>
                <w:sz w:val="15"/>
                <w:szCs w:val="15"/>
              </w:rPr>
              <w:t>Class</w:t>
            </w:r>
          </w:p>
        </w:tc>
        <w:tc>
          <w:tcPr>
            <w:tcW w:w="4434" w:type="dxa"/>
            <w:gridSpan w:val="6"/>
            <w:vAlign w:val="center"/>
          </w:tcPr>
          <w:p w14:paraId="17BF45B3">
            <w:pPr>
              <w:ind w:firstLine="90" w:firstLineChars="50"/>
              <w:jc w:val="center"/>
              <w:rPr>
                <w:sz w:val="13"/>
                <w:szCs w:val="13"/>
                <w:u w:val="single"/>
              </w:rPr>
            </w:pPr>
            <w:r>
              <w:rPr>
                <w:rFonts w:hint="eastAsia"/>
                <w:sz w:val="18"/>
                <w:szCs w:val="18"/>
              </w:rPr>
              <w:t>As per Teaching Plan</w:t>
            </w:r>
          </w:p>
        </w:tc>
        <w:tc>
          <w:tcPr>
            <w:tcW w:w="6359" w:type="dxa"/>
            <w:gridSpan w:val="10"/>
            <w:vAlign w:val="center"/>
          </w:tcPr>
          <w:p w14:paraId="1FE1A48B">
            <w:pPr>
              <w:jc w:val="center"/>
              <w:rPr>
                <w:sz w:val="13"/>
                <w:szCs w:val="13"/>
              </w:rPr>
            </w:pPr>
            <w:r>
              <w:rPr>
                <w:rFonts w:hint="eastAsia"/>
                <w:sz w:val="18"/>
                <w:szCs w:val="18"/>
              </w:rPr>
              <w:t>Planned Weekly Hours This Semester</w:t>
            </w:r>
          </w:p>
        </w:tc>
        <w:tc>
          <w:tcPr>
            <w:tcW w:w="2832" w:type="dxa"/>
            <w:gridSpan w:val="4"/>
          </w:tcPr>
          <w:p w14:paraId="2E722B09">
            <w:pPr>
              <w:jc w:val="left"/>
              <w:rPr>
                <w:sz w:val="13"/>
                <w:szCs w:val="13"/>
              </w:rPr>
            </w:pPr>
            <w:r>
              <w:rPr>
                <w:sz w:val="15"/>
                <w:szCs w:val="15"/>
              </w:rPr>
              <w:t>Comparison of planned hours with the hours specified in the syllabus (use "+" and "-" to indicate increases and decreases)</w:t>
            </w:r>
          </w:p>
        </w:tc>
      </w:tr>
      <w:tr w14:paraId="65CC2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1" w:hRule="atLeast"/>
          <w:jc w:val="center"/>
        </w:trPr>
        <w:tc>
          <w:tcPr>
            <w:tcW w:w="683" w:type="dxa"/>
            <w:vMerge w:val="continue"/>
          </w:tcPr>
          <w:p w14:paraId="5D237C66">
            <w:pPr>
              <w:jc w:val="center"/>
              <w:rPr>
                <w:sz w:val="13"/>
                <w:szCs w:val="13"/>
                <w:u w:val="single"/>
              </w:rPr>
            </w:pPr>
          </w:p>
        </w:tc>
        <w:tc>
          <w:tcPr>
            <w:tcW w:w="876" w:type="dxa"/>
            <w:vMerge w:val="continue"/>
          </w:tcPr>
          <w:p w14:paraId="3568485F">
            <w:pPr>
              <w:jc w:val="center"/>
              <w:rPr>
                <w:sz w:val="13"/>
                <w:szCs w:val="13"/>
                <w:u w:val="single"/>
              </w:rPr>
            </w:pPr>
          </w:p>
        </w:tc>
        <w:tc>
          <w:tcPr>
            <w:tcW w:w="690" w:type="dxa"/>
            <w:vMerge w:val="continue"/>
          </w:tcPr>
          <w:p w14:paraId="7CAD2CE4">
            <w:pPr>
              <w:jc w:val="left"/>
              <w:rPr>
                <w:sz w:val="13"/>
                <w:szCs w:val="13"/>
                <w:u w:val="single"/>
              </w:rPr>
            </w:pPr>
          </w:p>
        </w:tc>
        <w:tc>
          <w:tcPr>
            <w:tcW w:w="580" w:type="dxa"/>
            <w:vMerge w:val="restart"/>
          </w:tcPr>
          <w:p w14:paraId="1AA01281">
            <w:pPr>
              <w:jc w:val="left"/>
              <w:rPr>
                <w:sz w:val="13"/>
                <w:szCs w:val="13"/>
              </w:rPr>
            </w:pPr>
            <w:r>
              <w:rPr>
                <w:sz w:val="13"/>
                <w:szCs w:val="13"/>
              </w:rPr>
              <w:t>Total Hours</w:t>
            </w:r>
          </w:p>
        </w:tc>
        <w:tc>
          <w:tcPr>
            <w:tcW w:w="841" w:type="dxa"/>
            <w:vMerge w:val="restart"/>
          </w:tcPr>
          <w:p w14:paraId="09F29318">
            <w:pPr>
              <w:jc w:val="left"/>
              <w:rPr>
                <w:sz w:val="13"/>
                <w:szCs w:val="13"/>
              </w:rPr>
            </w:pPr>
            <w:r>
              <w:rPr>
                <w:rFonts w:hint="eastAsia"/>
                <w:sz w:val="13"/>
                <w:szCs w:val="13"/>
              </w:rPr>
              <w:t>Completed Hours</w:t>
            </w:r>
          </w:p>
        </w:tc>
        <w:tc>
          <w:tcPr>
            <w:tcW w:w="787" w:type="dxa"/>
          </w:tcPr>
          <w:p w14:paraId="3A01A3FC">
            <w:pPr>
              <w:jc w:val="center"/>
              <w:rPr>
                <w:sz w:val="13"/>
                <w:szCs w:val="13"/>
              </w:rPr>
            </w:pPr>
            <w:r>
              <w:rPr>
                <w:rFonts w:hint="eastAsia"/>
                <w:sz w:val="13"/>
                <w:szCs w:val="13"/>
              </w:rPr>
              <w:t>Remaining Hours</w:t>
            </w:r>
          </w:p>
        </w:tc>
        <w:tc>
          <w:tcPr>
            <w:tcW w:w="2226" w:type="dxa"/>
            <w:gridSpan w:val="3"/>
          </w:tcPr>
          <w:p w14:paraId="6BFCD116">
            <w:pPr>
              <w:jc w:val="center"/>
              <w:rPr>
                <w:sz w:val="13"/>
                <w:szCs w:val="13"/>
              </w:rPr>
            </w:pPr>
            <w:r>
              <w:rPr>
                <w:sz w:val="13"/>
                <w:szCs w:val="13"/>
              </w:rPr>
              <w:t>During this semester</w:t>
            </w:r>
          </w:p>
        </w:tc>
        <w:tc>
          <w:tcPr>
            <w:tcW w:w="600" w:type="dxa"/>
            <w:vMerge w:val="restart"/>
          </w:tcPr>
          <w:p w14:paraId="5CEE3153">
            <w:pPr>
              <w:jc w:val="left"/>
              <w:rPr>
                <w:sz w:val="13"/>
                <w:szCs w:val="13"/>
              </w:rPr>
            </w:pPr>
            <w:r>
              <w:rPr>
                <w:sz w:val="13"/>
                <w:szCs w:val="13"/>
              </w:rPr>
              <w:t>Total Hours</w:t>
            </w:r>
          </w:p>
        </w:tc>
        <w:tc>
          <w:tcPr>
            <w:tcW w:w="640" w:type="dxa"/>
            <w:vMerge w:val="restart"/>
          </w:tcPr>
          <w:p w14:paraId="38E73291">
            <w:pPr>
              <w:jc w:val="left"/>
              <w:rPr>
                <w:sz w:val="13"/>
                <w:szCs w:val="13"/>
              </w:rPr>
            </w:pPr>
            <w:r>
              <w:rPr>
                <w:rFonts w:hint="eastAsia"/>
                <w:sz w:val="13"/>
                <w:szCs w:val="13"/>
              </w:rPr>
              <w:t>Lecture</w:t>
            </w:r>
          </w:p>
        </w:tc>
        <w:tc>
          <w:tcPr>
            <w:tcW w:w="707" w:type="dxa"/>
            <w:vMerge w:val="restart"/>
          </w:tcPr>
          <w:p w14:paraId="188BB05B">
            <w:pPr>
              <w:jc w:val="left"/>
              <w:rPr>
                <w:sz w:val="13"/>
                <w:szCs w:val="13"/>
              </w:rPr>
            </w:pPr>
            <w:r>
              <w:rPr>
                <w:rFonts w:hint="eastAsia"/>
                <w:sz w:val="13"/>
                <w:szCs w:val="13"/>
              </w:rPr>
              <w:t>Exercise</w:t>
            </w:r>
          </w:p>
        </w:tc>
        <w:tc>
          <w:tcPr>
            <w:tcW w:w="889" w:type="dxa"/>
            <w:vMerge w:val="restart"/>
          </w:tcPr>
          <w:p w14:paraId="41F95811">
            <w:pPr>
              <w:jc w:val="left"/>
              <w:rPr>
                <w:sz w:val="13"/>
                <w:szCs w:val="13"/>
              </w:rPr>
            </w:pPr>
            <w:r>
              <w:rPr>
                <w:rFonts w:hint="eastAsia"/>
                <w:sz w:val="13"/>
                <w:szCs w:val="13"/>
              </w:rPr>
              <w:t>Experiment</w:t>
            </w:r>
          </w:p>
        </w:tc>
        <w:tc>
          <w:tcPr>
            <w:tcW w:w="644" w:type="dxa"/>
            <w:gridSpan w:val="2"/>
            <w:vMerge w:val="restart"/>
          </w:tcPr>
          <w:p w14:paraId="15B4692F">
            <w:pPr>
              <w:jc w:val="left"/>
              <w:rPr>
                <w:sz w:val="13"/>
                <w:szCs w:val="13"/>
              </w:rPr>
            </w:pPr>
            <w:r>
              <w:rPr>
                <w:rFonts w:hint="eastAsia"/>
                <w:sz w:val="13"/>
                <w:szCs w:val="13"/>
              </w:rPr>
              <w:t>Moral Ed. Practice</w:t>
            </w:r>
          </w:p>
        </w:tc>
        <w:tc>
          <w:tcPr>
            <w:tcW w:w="666" w:type="dxa"/>
            <w:vMerge w:val="restart"/>
          </w:tcPr>
          <w:p w14:paraId="4533DDDB">
            <w:pPr>
              <w:jc w:val="left"/>
              <w:rPr>
                <w:sz w:val="13"/>
                <w:szCs w:val="13"/>
              </w:rPr>
            </w:pPr>
            <w:r>
              <w:rPr>
                <w:rFonts w:hint="eastAsia"/>
                <w:sz w:val="13"/>
                <w:szCs w:val="13"/>
              </w:rPr>
              <w:t xml:space="preserve">Review </w:t>
            </w:r>
            <w:r>
              <w:rPr>
                <w:rStyle w:val="10"/>
                <w:rFonts w:ascii="Times New Roman" w:eastAsia="微软雅黑"/>
                <w:b w:val="0"/>
                <w:i w:val="0"/>
                <w:caps w:val="0"/>
                <w:spacing w:val="0"/>
                <w:w w:val="100"/>
                <w:kern w:val="2"/>
                <w:sz w:val="11"/>
                <w:szCs w:val="11"/>
                <w:lang w:val="en-US" w:eastAsia="zh-CN" w:bidi="ar-SA"/>
              </w:rPr>
              <w:t>Hours</w:t>
            </w:r>
          </w:p>
        </w:tc>
        <w:tc>
          <w:tcPr>
            <w:tcW w:w="580" w:type="dxa"/>
            <w:vMerge w:val="restart"/>
          </w:tcPr>
          <w:p w14:paraId="71D2F3B8">
            <w:pPr>
              <w:jc w:val="left"/>
              <w:rPr>
                <w:sz w:val="13"/>
                <w:szCs w:val="13"/>
              </w:rPr>
            </w:pPr>
            <w:r>
              <w:rPr>
                <w:rFonts w:hint="eastAsia"/>
                <w:sz w:val="13"/>
                <w:szCs w:val="13"/>
              </w:rPr>
              <w:t>Test &amp; Exam</w:t>
            </w:r>
          </w:p>
        </w:tc>
        <w:tc>
          <w:tcPr>
            <w:tcW w:w="942" w:type="dxa"/>
            <w:vMerge w:val="restart"/>
          </w:tcPr>
          <w:p w14:paraId="44DCDFE4">
            <w:pPr>
              <w:jc w:val="left"/>
              <w:rPr>
                <w:sz w:val="13"/>
                <w:szCs w:val="13"/>
              </w:rPr>
            </w:pPr>
            <w:r>
              <w:rPr>
                <w:rStyle w:val="10"/>
                <w:rFonts w:ascii="Times New Roman" w:eastAsia="微软雅黑"/>
                <w:b w:val="0"/>
                <w:i w:val="0"/>
                <w:caps w:val="0"/>
                <w:spacing w:val="0"/>
                <w:w w:val="100"/>
                <w:kern w:val="2"/>
                <w:sz w:val="11"/>
                <w:szCs w:val="11"/>
                <w:lang w:val="en-US" w:eastAsia="zh-CN" w:bidi="ar-SA"/>
              </w:rPr>
              <w:t>Reserve Hours</w:t>
            </w:r>
          </w:p>
        </w:tc>
        <w:tc>
          <w:tcPr>
            <w:tcW w:w="691" w:type="dxa"/>
            <w:vMerge w:val="restart"/>
          </w:tcPr>
          <w:p w14:paraId="68860604">
            <w:pPr>
              <w:jc w:val="left"/>
              <w:rPr>
                <w:sz w:val="13"/>
                <w:szCs w:val="13"/>
              </w:rPr>
            </w:pPr>
            <w:r>
              <w:rPr>
                <w:rFonts w:hint="eastAsia"/>
                <w:sz w:val="13"/>
                <w:szCs w:val="13"/>
              </w:rPr>
              <w:t>Labor Activity</w:t>
            </w:r>
          </w:p>
        </w:tc>
        <w:tc>
          <w:tcPr>
            <w:tcW w:w="581" w:type="dxa"/>
            <w:vMerge w:val="restart"/>
          </w:tcPr>
          <w:p w14:paraId="78A1BFA3">
            <w:pPr>
              <w:jc w:val="left"/>
              <w:rPr>
                <w:sz w:val="13"/>
                <w:szCs w:val="13"/>
              </w:rPr>
            </w:pPr>
            <w:r>
              <w:rPr>
                <w:sz w:val="13"/>
                <w:szCs w:val="13"/>
              </w:rPr>
              <w:t>Total Hours</w:t>
            </w:r>
          </w:p>
        </w:tc>
        <w:tc>
          <w:tcPr>
            <w:tcW w:w="666" w:type="dxa"/>
            <w:vMerge w:val="restart"/>
          </w:tcPr>
          <w:p w14:paraId="7041B78A">
            <w:pPr>
              <w:jc w:val="left"/>
              <w:rPr>
                <w:sz w:val="13"/>
                <w:szCs w:val="13"/>
              </w:rPr>
            </w:pPr>
            <w:r>
              <w:rPr>
                <w:rFonts w:hint="eastAsia"/>
                <w:sz w:val="13"/>
                <w:szCs w:val="13"/>
              </w:rPr>
              <w:t>Lecture</w:t>
            </w:r>
          </w:p>
        </w:tc>
        <w:tc>
          <w:tcPr>
            <w:tcW w:w="893" w:type="dxa"/>
            <w:vMerge w:val="restart"/>
          </w:tcPr>
          <w:p w14:paraId="242B158E">
            <w:pPr>
              <w:jc w:val="left"/>
              <w:rPr>
                <w:sz w:val="13"/>
                <w:szCs w:val="13"/>
              </w:rPr>
            </w:pPr>
            <w:r>
              <w:rPr>
                <w:rFonts w:hint="eastAsia"/>
                <w:sz w:val="13"/>
                <w:szCs w:val="13"/>
              </w:rPr>
              <w:t>Experiment</w:t>
            </w:r>
          </w:p>
        </w:tc>
        <w:tc>
          <w:tcPr>
            <w:tcW w:w="692" w:type="dxa"/>
            <w:vMerge w:val="restart"/>
          </w:tcPr>
          <w:p w14:paraId="23E6BC22">
            <w:pPr>
              <w:jc w:val="left"/>
              <w:rPr>
                <w:sz w:val="13"/>
                <w:szCs w:val="13"/>
              </w:rPr>
            </w:pPr>
            <w:r>
              <w:rPr>
                <w:rFonts w:hint="eastAsia"/>
                <w:sz w:val="13"/>
                <w:szCs w:val="13"/>
              </w:rPr>
              <w:t>Practice</w:t>
            </w:r>
          </w:p>
        </w:tc>
      </w:tr>
      <w:tr w14:paraId="5A2DD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2" w:hRule="atLeast"/>
          <w:jc w:val="center"/>
        </w:trPr>
        <w:tc>
          <w:tcPr>
            <w:tcW w:w="683" w:type="dxa"/>
            <w:vMerge w:val="continue"/>
          </w:tcPr>
          <w:p w14:paraId="64C5EEA3">
            <w:pPr>
              <w:jc w:val="center"/>
              <w:rPr>
                <w:sz w:val="13"/>
                <w:szCs w:val="13"/>
                <w:u w:val="single"/>
              </w:rPr>
            </w:pPr>
          </w:p>
        </w:tc>
        <w:tc>
          <w:tcPr>
            <w:tcW w:w="876" w:type="dxa"/>
            <w:vMerge w:val="continue"/>
          </w:tcPr>
          <w:p w14:paraId="1860DEB3">
            <w:pPr>
              <w:jc w:val="center"/>
              <w:rPr>
                <w:sz w:val="13"/>
                <w:szCs w:val="13"/>
                <w:u w:val="single"/>
              </w:rPr>
            </w:pPr>
          </w:p>
        </w:tc>
        <w:tc>
          <w:tcPr>
            <w:tcW w:w="690" w:type="dxa"/>
            <w:vMerge w:val="continue"/>
          </w:tcPr>
          <w:p w14:paraId="574C39B0">
            <w:pPr>
              <w:jc w:val="center"/>
              <w:rPr>
                <w:sz w:val="13"/>
                <w:szCs w:val="13"/>
                <w:u w:val="single"/>
              </w:rPr>
            </w:pPr>
          </w:p>
        </w:tc>
        <w:tc>
          <w:tcPr>
            <w:tcW w:w="580" w:type="dxa"/>
            <w:vMerge w:val="continue"/>
          </w:tcPr>
          <w:p w14:paraId="224E0BC7">
            <w:pPr>
              <w:jc w:val="center"/>
              <w:rPr>
                <w:sz w:val="13"/>
                <w:szCs w:val="13"/>
                <w:u w:val="single"/>
              </w:rPr>
            </w:pPr>
          </w:p>
        </w:tc>
        <w:tc>
          <w:tcPr>
            <w:tcW w:w="841" w:type="dxa"/>
            <w:vMerge w:val="continue"/>
          </w:tcPr>
          <w:p w14:paraId="272687EB">
            <w:pPr>
              <w:jc w:val="center"/>
              <w:rPr>
                <w:sz w:val="13"/>
                <w:szCs w:val="13"/>
              </w:rPr>
            </w:pPr>
          </w:p>
        </w:tc>
        <w:tc>
          <w:tcPr>
            <w:tcW w:w="787" w:type="dxa"/>
          </w:tcPr>
          <w:p w14:paraId="0C3905CF">
            <w:pPr>
              <w:jc w:val="center"/>
              <w:rPr>
                <w:sz w:val="13"/>
                <w:szCs w:val="13"/>
              </w:rPr>
            </w:pPr>
          </w:p>
        </w:tc>
        <w:tc>
          <w:tcPr>
            <w:tcW w:w="906" w:type="dxa"/>
          </w:tcPr>
          <w:p w14:paraId="02A09BF6">
            <w:pPr>
              <w:rPr>
                <w:sz w:val="13"/>
                <w:szCs w:val="13"/>
              </w:rPr>
            </w:pPr>
            <w:r>
              <w:rPr>
                <w:sz w:val="13"/>
                <w:szCs w:val="13"/>
              </w:rPr>
              <w:t>Regulation</w:t>
            </w:r>
          </w:p>
          <w:p w14:paraId="668BE3F6">
            <w:pPr>
              <w:rPr>
                <w:sz w:val="13"/>
                <w:szCs w:val="13"/>
              </w:rPr>
            </w:pPr>
            <w:r>
              <w:rPr>
                <w:sz w:val="13"/>
                <w:szCs w:val="13"/>
              </w:rPr>
              <w:t>Hours</w:t>
            </w:r>
          </w:p>
        </w:tc>
        <w:tc>
          <w:tcPr>
            <w:tcW w:w="680" w:type="dxa"/>
          </w:tcPr>
          <w:p w14:paraId="1FB54C08">
            <w:pPr>
              <w:rPr>
                <w:sz w:val="13"/>
                <w:szCs w:val="13"/>
              </w:rPr>
            </w:pPr>
            <w:r>
              <w:rPr>
                <w:rFonts w:hint="eastAsia"/>
                <w:sz w:val="13"/>
                <w:szCs w:val="13"/>
              </w:rPr>
              <w:t>Teaching Weeks</w:t>
            </w:r>
          </w:p>
        </w:tc>
        <w:tc>
          <w:tcPr>
            <w:tcW w:w="640" w:type="dxa"/>
          </w:tcPr>
          <w:p w14:paraId="09329C76">
            <w:pPr>
              <w:rPr>
                <w:sz w:val="13"/>
                <w:szCs w:val="13"/>
              </w:rPr>
            </w:pPr>
            <w:r>
              <w:rPr>
                <w:sz w:val="13"/>
                <w:szCs w:val="13"/>
              </w:rPr>
              <w:t>Weekly Hours</w:t>
            </w:r>
          </w:p>
        </w:tc>
        <w:tc>
          <w:tcPr>
            <w:tcW w:w="600" w:type="dxa"/>
            <w:vMerge w:val="continue"/>
          </w:tcPr>
          <w:p w14:paraId="75A90E44">
            <w:pPr>
              <w:jc w:val="center"/>
              <w:rPr>
                <w:sz w:val="13"/>
                <w:szCs w:val="13"/>
                <w:u w:val="single"/>
              </w:rPr>
            </w:pPr>
          </w:p>
        </w:tc>
        <w:tc>
          <w:tcPr>
            <w:tcW w:w="640" w:type="dxa"/>
            <w:vMerge w:val="continue"/>
          </w:tcPr>
          <w:p w14:paraId="719537C4">
            <w:pPr>
              <w:jc w:val="center"/>
              <w:rPr>
                <w:sz w:val="13"/>
                <w:szCs w:val="13"/>
                <w:u w:val="single"/>
              </w:rPr>
            </w:pPr>
          </w:p>
        </w:tc>
        <w:tc>
          <w:tcPr>
            <w:tcW w:w="707" w:type="dxa"/>
            <w:vMerge w:val="continue"/>
          </w:tcPr>
          <w:p w14:paraId="04895E28">
            <w:pPr>
              <w:jc w:val="center"/>
              <w:rPr>
                <w:sz w:val="13"/>
                <w:szCs w:val="13"/>
                <w:u w:val="single"/>
              </w:rPr>
            </w:pPr>
          </w:p>
        </w:tc>
        <w:tc>
          <w:tcPr>
            <w:tcW w:w="889" w:type="dxa"/>
            <w:vMerge w:val="continue"/>
          </w:tcPr>
          <w:p w14:paraId="24EDD310">
            <w:pPr>
              <w:jc w:val="center"/>
              <w:rPr>
                <w:sz w:val="13"/>
                <w:szCs w:val="13"/>
                <w:u w:val="single"/>
              </w:rPr>
            </w:pPr>
          </w:p>
        </w:tc>
        <w:tc>
          <w:tcPr>
            <w:tcW w:w="644" w:type="dxa"/>
            <w:gridSpan w:val="2"/>
            <w:vMerge w:val="continue"/>
          </w:tcPr>
          <w:p w14:paraId="52C6DEEF">
            <w:pPr>
              <w:jc w:val="center"/>
              <w:rPr>
                <w:sz w:val="13"/>
                <w:szCs w:val="13"/>
                <w:u w:val="single"/>
              </w:rPr>
            </w:pPr>
          </w:p>
        </w:tc>
        <w:tc>
          <w:tcPr>
            <w:tcW w:w="666" w:type="dxa"/>
            <w:vMerge w:val="continue"/>
          </w:tcPr>
          <w:p w14:paraId="326353A9">
            <w:pPr>
              <w:jc w:val="center"/>
              <w:rPr>
                <w:sz w:val="13"/>
                <w:szCs w:val="13"/>
                <w:u w:val="single"/>
              </w:rPr>
            </w:pPr>
          </w:p>
        </w:tc>
        <w:tc>
          <w:tcPr>
            <w:tcW w:w="580" w:type="dxa"/>
            <w:vMerge w:val="continue"/>
          </w:tcPr>
          <w:p w14:paraId="278D5642">
            <w:pPr>
              <w:jc w:val="center"/>
              <w:rPr>
                <w:sz w:val="13"/>
                <w:szCs w:val="13"/>
                <w:u w:val="single"/>
              </w:rPr>
            </w:pPr>
          </w:p>
        </w:tc>
        <w:tc>
          <w:tcPr>
            <w:tcW w:w="942" w:type="dxa"/>
            <w:vMerge w:val="continue"/>
          </w:tcPr>
          <w:p w14:paraId="7432EFF9">
            <w:pPr>
              <w:jc w:val="center"/>
              <w:rPr>
                <w:sz w:val="13"/>
                <w:szCs w:val="13"/>
                <w:u w:val="single"/>
              </w:rPr>
            </w:pPr>
          </w:p>
        </w:tc>
        <w:tc>
          <w:tcPr>
            <w:tcW w:w="691" w:type="dxa"/>
            <w:vMerge w:val="continue"/>
          </w:tcPr>
          <w:p w14:paraId="612D2708">
            <w:pPr>
              <w:jc w:val="center"/>
              <w:rPr>
                <w:sz w:val="13"/>
                <w:szCs w:val="13"/>
                <w:u w:val="single"/>
              </w:rPr>
            </w:pPr>
          </w:p>
        </w:tc>
        <w:tc>
          <w:tcPr>
            <w:tcW w:w="581" w:type="dxa"/>
            <w:vMerge w:val="continue"/>
          </w:tcPr>
          <w:p w14:paraId="1C3F3640">
            <w:pPr>
              <w:jc w:val="center"/>
              <w:rPr>
                <w:sz w:val="13"/>
                <w:szCs w:val="13"/>
                <w:u w:val="single"/>
              </w:rPr>
            </w:pPr>
          </w:p>
        </w:tc>
        <w:tc>
          <w:tcPr>
            <w:tcW w:w="666" w:type="dxa"/>
            <w:vMerge w:val="continue"/>
          </w:tcPr>
          <w:p w14:paraId="4010EEA5">
            <w:pPr>
              <w:jc w:val="center"/>
              <w:rPr>
                <w:sz w:val="13"/>
                <w:szCs w:val="13"/>
                <w:u w:val="single"/>
              </w:rPr>
            </w:pPr>
          </w:p>
        </w:tc>
        <w:tc>
          <w:tcPr>
            <w:tcW w:w="893" w:type="dxa"/>
            <w:vMerge w:val="continue"/>
          </w:tcPr>
          <w:p w14:paraId="64A00F06">
            <w:pPr>
              <w:jc w:val="center"/>
              <w:rPr>
                <w:sz w:val="13"/>
                <w:szCs w:val="13"/>
                <w:u w:val="single"/>
              </w:rPr>
            </w:pPr>
          </w:p>
        </w:tc>
        <w:tc>
          <w:tcPr>
            <w:tcW w:w="692" w:type="dxa"/>
            <w:vMerge w:val="continue"/>
          </w:tcPr>
          <w:p w14:paraId="6B6D4646">
            <w:pPr>
              <w:jc w:val="center"/>
              <w:rPr>
                <w:sz w:val="13"/>
                <w:szCs w:val="13"/>
                <w:u w:val="single"/>
              </w:rPr>
            </w:pPr>
          </w:p>
        </w:tc>
      </w:tr>
      <w:tr w14:paraId="1371E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1" w:hRule="atLeast"/>
          <w:jc w:val="center"/>
        </w:trPr>
        <w:tc>
          <w:tcPr>
            <w:tcW w:w="683" w:type="dxa"/>
            <w:vMerge w:val="continue"/>
          </w:tcPr>
          <w:p w14:paraId="2BA79AC7">
            <w:pPr>
              <w:jc w:val="center"/>
              <w:rPr>
                <w:sz w:val="13"/>
                <w:szCs w:val="13"/>
                <w:u w:val="single"/>
              </w:rPr>
            </w:pPr>
          </w:p>
        </w:tc>
        <w:tc>
          <w:tcPr>
            <w:tcW w:w="876" w:type="dxa"/>
            <w:vMerge w:val="continue"/>
          </w:tcPr>
          <w:p w14:paraId="57E986AE">
            <w:pPr>
              <w:jc w:val="center"/>
              <w:rPr>
                <w:sz w:val="13"/>
                <w:szCs w:val="13"/>
                <w:u w:val="single"/>
              </w:rPr>
            </w:pPr>
          </w:p>
        </w:tc>
        <w:tc>
          <w:tcPr>
            <w:tcW w:w="690" w:type="dxa"/>
          </w:tcPr>
          <w:p w14:paraId="624E9563">
            <w:pPr>
              <w:jc w:val="center"/>
              <w:rPr>
                <w:rFonts w:hint="eastAsia"/>
                <w:sz w:val="13"/>
                <w:szCs w:val="13"/>
              </w:rPr>
            </w:pPr>
            <w:r>
              <w:rPr>
                <w:rFonts w:hint="eastAsia"/>
                <w:sz w:val="13"/>
                <w:szCs w:val="13"/>
              </w:rPr>
              <w:t>Customs Affairs 22501/</w:t>
            </w:r>
          </w:p>
          <w:p w14:paraId="34E09881">
            <w:pPr>
              <w:jc w:val="center"/>
              <w:rPr>
                <w:sz w:val="13"/>
                <w:szCs w:val="13"/>
              </w:rPr>
            </w:pPr>
            <w:r>
              <w:rPr>
                <w:rFonts w:hint="eastAsia"/>
                <w:sz w:val="13"/>
                <w:szCs w:val="13"/>
              </w:rPr>
              <w:t>22502</w:t>
            </w:r>
          </w:p>
        </w:tc>
        <w:tc>
          <w:tcPr>
            <w:tcW w:w="580" w:type="dxa"/>
            <w:vAlign w:val="top"/>
          </w:tcPr>
          <w:p w14:paraId="274757CB">
            <w:pPr>
              <w:rPr>
                <w:sz w:val="13"/>
                <w:szCs w:val="13"/>
              </w:rPr>
            </w:pPr>
            <w:r>
              <w:rPr>
                <w:rFonts w:hint="eastAsia"/>
                <w:sz w:val="13"/>
                <w:szCs w:val="13"/>
                <w:lang w:val="en-US" w:eastAsia="zh-CN"/>
              </w:rPr>
              <w:t>60</w:t>
            </w:r>
          </w:p>
        </w:tc>
        <w:tc>
          <w:tcPr>
            <w:tcW w:w="841" w:type="dxa"/>
            <w:vAlign w:val="top"/>
          </w:tcPr>
          <w:p w14:paraId="76FFD2CC">
            <w:pPr>
              <w:jc w:val="center"/>
              <w:rPr>
                <w:sz w:val="13"/>
                <w:szCs w:val="13"/>
              </w:rPr>
            </w:pPr>
            <w:r>
              <w:rPr>
                <w:sz w:val="13"/>
                <w:szCs w:val="13"/>
              </w:rPr>
              <w:t>0</w:t>
            </w:r>
          </w:p>
        </w:tc>
        <w:tc>
          <w:tcPr>
            <w:tcW w:w="787" w:type="dxa"/>
            <w:vAlign w:val="top"/>
          </w:tcPr>
          <w:p w14:paraId="4F46C3F6">
            <w:pPr>
              <w:jc w:val="center"/>
              <w:rPr>
                <w:sz w:val="13"/>
                <w:szCs w:val="13"/>
              </w:rPr>
            </w:pPr>
            <w:r>
              <w:rPr>
                <w:rFonts w:hint="eastAsia"/>
                <w:sz w:val="13"/>
                <w:szCs w:val="13"/>
                <w:lang w:val="en-US" w:eastAsia="zh-CN"/>
              </w:rPr>
              <w:t>60</w:t>
            </w:r>
          </w:p>
        </w:tc>
        <w:tc>
          <w:tcPr>
            <w:tcW w:w="906" w:type="dxa"/>
            <w:vAlign w:val="top"/>
          </w:tcPr>
          <w:p w14:paraId="68D884EA">
            <w:pPr>
              <w:jc w:val="center"/>
              <w:rPr>
                <w:sz w:val="13"/>
                <w:szCs w:val="13"/>
              </w:rPr>
            </w:pPr>
            <w:r>
              <w:rPr>
                <w:rFonts w:hint="eastAsia"/>
                <w:sz w:val="13"/>
                <w:szCs w:val="13"/>
                <w:lang w:val="en-US" w:eastAsia="zh-CN"/>
              </w:rPr>
              <w:t>60</w:t>
            </w:r>
          </w:p>
        </w:tc>
        <w:tc>
          <w:tcPr>
            <w:tcW w:w="680" w:type="dxa"/>
            <w:vAlign w:val="top"/>
          </w:tcPr>
          <w:p w14:paraId="556FE8F6">
            <w:pPr>
              <w:jc w:val="center"/>
              <w:rPr>
                <w:sz w:val="13"/>
                <w:szCs w:val="13"/>
              </w:rPr>
            </w:pPr>
            <w:r>
              <w:rPr>
                <w:rFonts w:hint="eastAsia"/>
                <w:sz w:val="13"/>
                <w:szCs w:val="13"/>
                <w:lang w:val="en-US" w:eastAsia="zh-CN"/>
              </w:rPr>
              <w:t>15</w:t>
            </w:r>
          </w:p>
        </w:tc>
        <w:tc>
          <w:tcPr>
            <w:tcW w:w="640" w:type="dxa"/>
            <w:vAlign w:val="top"/>
          </w:tcPr>
          <w:p w14:paraId="41490B0C">
            <w:pPr>
              <w:jc w:val="center"/>
              <w:rPr>
                <w:sz w:val="13"/>
                <w:szCs w:val="13"/>
              </w:rPr>
            </w:pPr>
            <w:r>
              <w:rPr>
                <w:sz w:val="13"/>
                <w:szCs w:val="13"/>
              </w:rPr>
              <w:t>4</w:t>
            </w:r>
          </w:p>
        </w:tc>
        <w:tc>
          <w:tcPr>
            <w:tcW w:w="600" w:type="dxa"/>
          </w:tcPr>
          <w:p w14:paraId="2A39917E">
            <w:pPr>
              <w:jc w:val="center"/>
              <w:rPr>
                <w:rFonts w:hint="default" w:eastAsia="宋体"/>
                <w:sz w:val="13"/>
                <w:szCs w:val="13"/>
                <w:lang w:val="en-US" w:eastAsia="zh-CN"/>
              </w:rPr>
            </w:pPr>
            <w:r>
              <w:rPr>
                <w:rFonts w:hint="eastAsia"/>
                <w:sz w:val="13"/>
                <w:szCs w:val="13"/>
                <w:lang w:val="en-US" w:eastAsia="zh-CN"/>
              </w:rPr>
              <w:t>60</w:t>
            </w:r>
          </w:p>
        </w:tc>
        <w:tc>
          <w:tcPr>
            <w:tcW w:w="2236" w:type="dxa"/>
            <w:gridSpan w:val="3"/>
          </w:tcPr>
          <w:p w14:paraId="7D8F6935">
            <w:pPr>
              <w:jc w:val="center"/>
              <w:rPr>
                <w:rFonts w:hint="default" w:eastAsia="宋体"/>
                <w:sz w:val="13"/>
                <w:szCs w:val="13"/>
                <w:lang w:val="en-US" w:eastAsia="zh-CN"/>
              </w:rPr>
            </w:pPr>
            <w:r>
              <w:rPr>
                <w:rFonts w:hint="eastAsia"/>
                <w:sz w:val="13"/>
                <w:szCs w:val="13"/>
                <w:lang w:val="en-US" w:eastAsia="zh-CN"/>
              </w:rPr>
              <w:t>54</w:t>
            </w:r>
          </w:p>
        </w:tc>
        <w:tc>
          <w:tcPr>
            <w:tcW w:w="644" w:type="dxa"/>
            <w:gridSpan w:val="2"/>
          </w:tcPr>
          <w:p w14:paraId="01C41FAD">
            <w:pPr>
              <w:jc w:val="center"/>
              <w:rPr>
                <w:sz w:val="13"/>
                <w:szCs w:val="13"/>
              </w:rPr>
            </w:pPr>
          </w:p>
        </w:tc>
        <w:tc>
          <w:tcPr>
            <w:tcW w:w="666" w:type="dxa"/>
          </w:tcPr>
          <w:p w14:paraId="5BFFE86B">
            <w:pPr>
              <w:jc w:val="center"/>
              <w:rPr>
                <w:rFonts w:hint="eastAsia" w:eastAsia="宋体"/>
                <w:sz w:val="13"/>
                <w:szCs w:val="13"/>
                <w:lang w:eastAsia="zh-CN"/>
              </w:rPr>
            </w:pPr>
            <w:r>
              <w:rPr>
                <w:rFonts w:hint="eastAsia"/>
                <w:sz w:val="13"/>
                <w:szCs w:val="13"/>
                <w:lang w:val="en-US" w:eastAsia="zh-CN"/>
              </w:rPr>
              <w:t>6</w:t>
            </w:r>
          </w:p>
        </w:tc>
        <w:tc>
          <w:tcPr>
            <w:tcW w:w="580" w:type="dxa"/>
          </w:tcPr>
          <w:p w14:paraId="03843009">
            <w:pPr>
              <w:jc w:val="center"/>
              <w:rPr>
                <w:sz w:val="13"/>
                <w:szCs w:val="13"/>
              </w:rPr>
            </w:pPr>
          </w:p>
        </w:tc>
        <w:tc>
          <w:tcPr>
            <w:tcW w:w="942" w:type="dxa"/>
          </w:tcPr>
          <w:p w14:paraId="0133879D">
            <w:pPr>
              <w:jc w:val="center"/>
              <w:rPr>
                <w:rFonts w:hint="eastAsia" w:eastAsia="宋体"/>
                <w:sz w:val="13"/>
                <w:szCs w:val="13"/>
                <w:lang w:val="en-US" w:eastAsia="zh-CN"/>
              </w:rPr>
            </w:pPr>
            <w:r>
              <w:rPr>
                <w:rFonts w:hint="eastAsia"/>
                <w:sz w:val="13"/>
                <w:szCs w:val="13"/>
                <w:lang w:val="en-US" w:eastAsia="zh-CN"/>
              </w:rPr>
              <w:t>2</w:t>
            </w:r>
          </w:p>
        </w:tc>
        <w:tc>
          <w:tcPr>
            <w:tcW w:w="691" w:type="dxa"/>
          </w:tcPr>
          <w:p w14:paraId="30E64A4F">
            <w:pPr>
              <w:jc w:val="center"/>
              <w:rPr>
                <w:sz w:val="13"/>
                <w:szCs w:val="13"/>
                <w:u w:val="single"/>
              </w:rPr>
            </w:pPr>
          </w:p>
        </w:tc>
        <w:tc>
          <w:tcPr>
            <w:tcW w:w="581" w:type="dxa"/>
          </w:tcPr>
          <w:p w14:paraId="0DBD7BFD">
            <w:pPr>
              <w:jc w:val="center"/>
              <w:rPr>
                <w:sz w:val="13"/>
                <w:szCs w:val="13"/>
                <w:u w:val="single"/>
              </w:rPr>
            </w:pPr>
          </w:p>
        </w:tc>
        <w:tc>
          <w:tcPr>
            <w:tcW w:w="666" w:type="dxa"/>
          </w:tcPr>
          <w:p w14:paraId="394A5C3C">
            <w:pPr>
              <w:jc w:val="center"/>
              <w:rPr>
                <w:sz w:val="13"/>
                <w:szCs w:val="13"/>
                <w:u w:val="single"/>
              </w:rPr>
            </w:pPr>
          </w:p>
        </w:tc>
        <w:tc>
          <w:tcPr>
            <w:tcW w:w="893" w:type="dxa"/>
          </w:tcPr>
          <w:p w14:paraId="74C13848">
            <w:pPr>
              <w:jc w:val="center"/>
              <w:rPr>
                <w:sz w:val="13"/>
                <w:szCs w:val="13"/>
                <w:u w:val="single"/>
              </w:rPr>
            </w:pPr>
          </w:p>
        </w:tc>
        <w:tc>
          <w:tcPr>
            <w:tcW w:w="692" w:type="dxa"/>
          </w:tcPr>
          <w:p w14:paraId="33991971">
            <w:pPr>
              <w:jc w:val="center"/>
              <w:rPr>
                <w:sz w:val="13"/>
                <w:szCs w:val="13"/>
                <w:u w:val="single"/>
              </w:rPr>
            </w:pPr>
          </w:p>
        </w:tc>
      </w:tr>
    </w:tbl>
    <w:p w14:paraId="0F25CF2B">
      <w:pPr>
        <w:jc w:val="center"/>
        <w:rPr>
          <w:sz w:val="24"/>
          <w:u w:val="single"/>
        </w:rPr>
      </w:pPr>
    </w:p>
    <w:p w14:paraId="14D8D0DA">
      <w:pPr>
        <w:jc w:val="center"/>
        <w:rPr>
          <w:rFonts w:ascii="隶书" w:eastAsia="隶书"/>
          <w:sz w:val="44"/>
        </w:rPr>
      </w:pPr>
      <w:r>
        <w:rPr>
          <w:rFonts w:hint="eastAsia"/>
          <w:sz w:val="22"/>
          <w:szCs w:val="22"/>
        </w:rPr>
        <w:t>Academic Affairs Section</w:t>
      </w:r>
      <w:r>
        <w:rPr>
          <w:rFonts w:hint="eastAsia"/>
          <w:sz w:val="22"/>
          <w:szCs w:val="22"/>
          <w:u w:val="single"/>
        </w:rPr>
        <w:t>,</w:t>
      </w:r>
      <w:r>
        <w:rPr>
          <w:rFonts w:hint="eastAsia"/>
          <w:sz w:val="22"/>
          <w:szCs w:val="22"/>
        </w:rPr>
        <w:t xml:space="preserve"> School of Economics and Management, Professional Department Director: </w:t>
      </w:r>
      <w:r>
        <w:rPr>
          <w:rFonts w:hint="eastAsia"/>
          <w:sz w:val="22"/>
          <w:szCs w:val="22"/>
          <w:u w:val="single"/>
        </w:rPr>
        <w:t xml:space="preserve">Gao Jing; </w:t>
      </w:r>
      <w:r>
        <w:rPr>
          <w:rFonts w:hint="eastAsia"/>
          <w:sz w:val="22"/>
          <w:szCs w:val="22"/>
        </w:rPr>
        <w:t xml:space="preserve">Teaching and Research Group Leader: </w:t>
      </w:r>
      <w:r>
        <w:rPr>
          <w:rFonts w:hint="eastAsia"/>
          <w:sz w:val="22"/>
          <w:szCs w:val="22"/>
          <w:u w:val="single"/>
        </w:rPr>
        <w:t xml:space="preserve">Gao Jing; </w:t>
      </w:r>
      <w:r>
        <w:rPr>
          <w:rFonts w:hint="eastAsia"/>
          <w:sz w:val="22"/>
          <w:szCs w:val="22"/>
        </w:rPr>
        <w:t>Date of Approval</w:t>
      </w:r>
      <w:r>
        <w:rPr>
          <w:sz w:val="22"/>
          <w:szCs w:val="22"/>
        </w:rPr>
        <w:t xml:space="preserve">: </w:t>
      </w:r>
      <w:r>
        <w:rPr>
          <w:sz w:val="22"/>
          <w:szCs w:val="22"/>
          <w:u w:val="single"/>
        </w:rPr>
        <w:t>202</w:t>
      </w:r>
      <w:r>
        <w:rPr>
          <w:rFonts w:hint="eastAsia"/>
          <w:sz w:val="22"/>
          <w:szCs w:val="22"/>
          <w:u w:val="single"/>
          <w:lang w:val="en-US" w:eastAsia="zh-CN"/>
        </w:rPr>
        <w:t>5</w:t>
      </w:r>
      <w:r>
        <w:rPr>
          <w:sz w:val="22"/>
          <w:szCs w:val="22"/>
          <w:u w:val="single"/>
        </w:rPr>
        <w:t>.</w:t>
      </w:r>
      <w:r>
        <w:rPr>
          <w:rFonts w:hint="eastAsia"/>
          <w:sz w:val="22"/>
          <w:szCs w:val="22"/>
          <w:u w:val="single"/>
          <w:lang w:val="en-US" w:eastAsia="zh-CN"/>
        </w:rPr>
        <w:t>6</w:t>
      </w:r>
      <w:r>
        <w:rPr>
          <w:sz w:val="22"/>
          <w:szCs w:val="22"/>
          <w:u w:val="single"/>
        </w:rPr>
        <w:t>.</w:t>
      </w:r>
      <w:r>
        <w:rPr>
          <w:rFonts w:hint="eastAsia"/>
          <w:sz w:val="22"/>
          <w:szCs w:val="22"/>
          <w:u w:val="single"/>
          <w:lang w:val="en-US" w:eastAsia="zh-CN"/>
        </w:rPr>
        <w:t>30</w:t>
      </w:r>
      <w:r>
        <w:rPr>
          <w:sz w:val="22"/>
          <w:szCs w:val="22"/>
          <w:u w:val="single"/>
        </w:rPr>
        <w:t xml:space="preserve">; </w:t>
      </w:r>
      <w:r>
        <w:rPr>
          <w:rFonts w:hint="eastAsia"/>
          <w:sz w:val="22"/>
          <w:szCs w:val="22"/>
        </w:rPr>
        <w:t xml:space="preserve">Teacher: </w:t>
      </w:r>
      <w:r>
        <w:rPr>
          <w:rFonts w:hint="eastAsia"/>
          <w:sz w:val="22"/>
          <w:szCs w:val="22"/>
          <w:u w:val="single"/>
        </w:rPr>
        <w:t xml:space="preserve">Wu Xieling </w:t>
      </w:r>
      <w:bookmarkStart w:id="2" w:name="_GoBack"/>
      <w:bookmarkEnd w:id="2"/>
    </w:p>
    <w:p w14:paraId="5CD1011A">
      <w:pPr>
        <w:pStyle w:val="2"/>
        <w:jc w:val="center"/>
        <w:rPr>
          <w:rFonts w:ascii="Times New Roman Bold" w:hAnsi="Times New Roman Bold" w:eastAsia="隶书" w:cs="Times New Roman Bold"/>
          <w:b/>
          <w:bCs/>
          <w:sz w:val="28"/>
          <w:szCs w:val="28"/>
        </w:rPr>
      </w:pPr>
      <w:r>
        <w:rPr>
          <w:rFonts w:ascii="Times New Roman Bold" w:hAnsi="Times New Roman Bold" w:eastAsia="隶书" w:cs="Times New Roman Bold"/>
          <w:b/>
          <w:bCs/>
          <w:sz w:val="28"/>
          <w:szCs w:val="28"/>
        </w:rPr>
        <w:t>Explanation</w:t>
      </w:r>
    </w:p>
    <w:p w14:paraId="59242E57">
      <w:pPr>
        <w:pStyle w:val="2"/>
        <w:rPr>
          <w:rFonts w:ascii="Times New Roman" w:hAnsi="Times New Roman" w:eastAsia="微软简行楷" w:cs="Times New Roman"/>
          <w:sz w:val="22"/>
          <w:szCs w:val="22"/>
        </w:rPr>
        <w:sectPr>
          <w:pgSz w:w="16840" w:h="11907" w:orient="landscape"/>
          <w:pgMar w:top="1021" w:right="1134" w:bottom="1021" w:left="1134" w:header="851" w:footer="992" w:gutter="0"/>
          <w:cols w:space="720" w:num="1"/>
          <w:docGrid w:type="linesAndChars" w:linePitch="318" w:charSpace="0"/>
        </w:sectPr>
      </w:pPr>
      <w:r>
        <w:rPr>
          <w:rFonts w:ascii="Times New Roman" w:hAnsi="Times New Roman" w:eastAsia="微软简行楷" w:cs="Times New Roman"/>
          <w:sz w:val="28"/>
        </w:rPr>
        <w:t xml:space="preserve">   </w:t>
      </w:r>
    </w:p>
    <w:p w14:paraId="5C12AF06">
      <w:pPr>
        <w:pStyle w:val="2"/>
        <w:spacing w:line="300" w:lineRule="auto"/>
        <w:ind w:firstLine="440" w:firstLineChars="200"/>
        <w:rPr>
          <w:rFonts w:ascii="Times New Roman" w:hAnsi="Times New Roman" w:cs="Times New Roman"/>
          <w:sz w:val="22"/>
          <w:szCs w:val="22"/>
        </w:rPr>
      </w:pPr>
      <w:r>
        <w:rPr>
          <w:rFonts w:hint="eastAsia" w:ascii="Times New Roman" w:hAnsi="Times New Roman" w:cs="Times New Roman"/>
          <w:b/>
          <w:bCs/>
          <w:sz w:val="22"/>
          <w:szCs w:val="22"/>
        </w:rPr>
        <w:t>I</w:t>
      </w:r>
      <w:r>
        <w:rPr>
          <w:rFonts w:ascii="Times New Roman" w:hAnsi="Times New Roman" w:cs="Times New Roman"/>
          <w:b/>
          <w:bCs/>
          <w:sz w:val="22"/>
          <w:szCs w:val="22"/>
        </w:rPr>
        <w:t>. Analysis of Teaching Targets</w:t>
      </w:r>
    </w:p>
    <w:p w14:paraId="53D156D7">
      <w:pPr>
        <w:spacing w:line="300" w:lineRule="auto"/>
        <w:ind w:firstLine="440" w:firstLineChars="200"/>
        <w:rPr>
          <w:rFonts w:hint="eastAsia" w:ascii="Times New Roman" w:hAnsi="Times New Roman" w:eastAsia="宋体" w:cs="Times New Roman"/>
          <w:kern w:val="2"/>
          <w:sz w:val="22"/>
          <w:szCs w:val="22"/>
          <w:lang w:val="en-US" w:eastAsia="zh-CN" w:bidi="ar-SA"/>
        </w:rPr>
      </w:pPr>
      <w:r>
        <w:rPr>
          <w:rFonts w:hint="eastAsia" w:ascii="Times New Roman" w:hAnsi="Times New Roman" w:eastAsia="宋体" w:cs="Times New Roman"/>
          <w:kern w:val="2"/>
          <w:sz w:val="22"/>
          <w:szCs w:val="22"/>
          <w:lang w:val="en-US" w:eastAsia="zh-CN" w:bidi="ar-SA"/>
        </w:rPr>
        <w:t>The students are from the Class of 2025, Customs Affairs Major (Secondary–Higher Vocational Articulation Program). Having completed secondary vocational education, they possess a basic understanding of international trade and commodity knowledge. Students in the articulation class generally show good discipline, strong willingness to pursue higher education, enthusiasm for core courses, and a strong desire to acquire new knowledge. However, their overall academic foundation and analytical and expressive abilities are still limited, requiring further cultivation and reinforcement during teaching. This course focuses on guiding students to master classification methods and techniques, become familiar with commodity categorization, and solve practical problems encountered in classification work.</w:t>
      </w:r>
    </w:p>
    <w:p w14:paraId="20FD51E5">
      <w:pPr>
        <w:pStyle w:val="2"/>
        <w:spacing w:line="300" w:lineRule="auto"/>
        <w:ind w:firstLine="440" w:firstLineChars="200"/>
        <w:rPr>
          <w:rFonts w:ascii="Times New Roman" w:hAnsi="Times New Roman" w:cs="Times New Roman"/>
          <w:b/>
          <w:bCs/>
          <w:sz w:val="22"/>
          <w:szCs w:val="22"/>
        </w:rPr>
      </w:pPr>
      <w:r>
        <w:rPr>
          <w:rFonts w:hint="eastAsia" w:ascii="Times New Roman" w:hAnsi="Times New Roman" w:cs="Times New Roman"/>
          <w:b/>
          <w:bCs/>
          <w:sz w:val="22"/>
          <w:szCs w:val="22"/>
        </w:rPr>
        <w:t>II</w:t>
      </w:r>
      <w:r>
        <w:rPr>
          <w:rFonts w:ascii="Times New Roman" w:hAnsi="Times New Roman" w:cs="Times New Roman"/>
          <w:b/>
          <w:bCs/>
          <w:sz w:val="22"/>
          <w:szCs w:val="22"/>
        </w:rPr>
        <w:t>. Teaching Objectives and Requirements</w:t>
      </w:r>
    </w:p>
    <w:p w14:paraId="065BC904">
      <w:pPr>
        <w:pStyle w:val="2"/>
        <w:spacing w:line="300" w:lineRule="auto"/>
        <w:ind w:firstLine="433" w:firstLineChars="197"/>
        <w:rPr>
          <w:rFonts w:hint="eastAsia" w:ascii="Times New Roman" w:hAnsi="Times New Roman" w:eastAsia="宋体" w:cs="Times New Roman"/>
          <w:kern w:val="2"/>
          <w:sz w:val="22"/>
          <w:szCs w:val="22"/>
          <w:lang w:val="en-US" w:eastAsia="zh-CN" w:bidi="ar-SA"/>
        </w:rPr>
      </w:pPr>
      <w:r>
        <w:rPr>
          <w:rFonts w:hint="eastAsia" w:ascii="Times New Roman" w:hAnsi="Times New Roman" w:eastAsia="宋体" w:cs="Times New Roman"/>
          <w:kern w:val="2"/>
          <w:sz w:val="22"/>
          <w:szCs w:val="22"/>
          <w:lang w:val="en-US" w:eastAsia="zh-CN" w:bidi="ar-SA"/>
        </w:rPr>
        <w:t xml:space="preserve">Upon completion of this course, students will systematically master the structure and classification principles of China’s Customs Tariff, as well as the basic knowledge and skills of import/export commodity classification. The course lays a solid foundation for their future careers in customs declaration, </w:t>
      </w:r>
      <w:r>
        <w:rPr>
          <w:rFonts w:hint="eastAsia" w:ascii="Times New Roman" w:hAnsi="Times New Roman" w:eastAsia="宋体" w:cs="Times New Roman"/>
          <w:kern w:val="2"/>
          <w:sz w:val="22"/>
          <w:szCs w:val="22"/>
          <w:lang w:val="en-US" w:eastAsia="zh-CN" w:bidi="ar-SA"/>
        </w:rPr>
        <w:t>pre-classification, and preparation for the Customs Professional Qualification Test. Aligning with the trend of AI application, the course incorporates AI-assisted exercises and case analysis to enhance students’ independent learning and classification capabilities, supporting the development of their professional competence and professionalism in customs practice.</w:t>
      </w:r>
    </w:p>
    <w:p w14:paraId="165CDAC5">
      <w:pPr>
        <w:pStyle w:val="2"/>
        <w:spacing w:line="300" w:lineRule="auto"/>
        <w:ind w:firstLine="433" w:firstLineChars="197"/>
        <w:rPr>
          <w:rFonts w:ascii="Times New Roman" w:hAnsi="Times New Roman" w:cs="Times New Roman"/>
          <w:sz w:val="22"/>
          <w:szCs w:val="22"/>
        </w:rPr>
      </w:pPr>
      <w:r>
        <w:rPr>
          <w:rFonts w:hint="eastAsia" w:ascii="Times New Roman" w:hAnsi="Times New Roman" w:cs="Times New Roman"/>
          <w:b/>
          <w:bCs/>
          <w:sz w:val="22"/>
          <w:szCs w:val="22"/>
        </w:rPr>
        <w:t>III</w:t>
      </w:r>
      <w:r>
        <w:rPr>
          <w:rFonts w:ascii="Times New Roman" w:hAnsi="Times New Roman" w:cs="Times New Roman"/>
          <w:b/>
          <w:bCs/>
          <w:sz w:val="22"/>
          <w:szCs w:val="22"/>
        </w:rPr>
        <w:t>. Handling of the textbook (addition and deletion of teaching content).</w:t>
      </w:r>
    </w:p>
    <w:p w14:paraId="1396C4FA">
      <w:pPr>
        <w:pStyle w:val="2"/>
        <w:spacing w:line="300" w:lineRule="auto"/>
        <w:ind w:firstLine="433" w:firstLineChars="197"/>
        <w:rPr>
          <w:rFonts w:hint="eastAsia" w:ascii="Times New Roman" w:hAnsi="Times New Roman" w:eastAsia="宋体" w:cs="Times New Roman"/>
          <w:kern w:val="2"/>
          <w:sz w:val="22"/>
          <w:szCs w:val="22"/>
          <w:lang w:val="en-US" w:eastAsia="zh-CN" w:bidi="ar-SA"/>
        </w:rPr>
      </w:pPr>
      <w:r>
        <w:rPr>
          <w:rFonts w:hint="eastAsia" w:ascii="Times New Roman" w:hAnsi="Times New Roman" w:eastAsia="宋体" w:cs="Times New Roman"/>
          <w:kern w:val="2"/>
          <w:sz w:val="22"/>
          <w:szCs w:val="22"/>
          <w:lang w:val="en-US" w:eastAsia="zh-CN" w:bidi="ar-SA"/>
        </w:rPr>
        <w:t>Textbook Selection: 2025 Import/Export Commodity Classification Manual, edited by the China Customs Brokers Association and published by China Customs Press. It is the designated textbook for the Customs Professional Qualification Test. Given the complexity of the textbook content, teaching adheres to the essential and sufficient principle by selecting key content appropriately, with balanced emphasis, to cultivate students’ classification skills and pre-classification capabilities.</w:t>
      </w:r>
    </w:p>
    <w:p w14:paraId="326945BE">
      <w:pPr>
        <w:pStyle w:val="2"/>
        <w:spacing w:line="300" w:lineRule="auto"/>
        <w:ind w:firstLine="433" w:firstLineChars="197"/>
        <w:rPr>
          <w:rFonts w:hint="eastAsia" w:ascii="Times New Roman" w:hAnsi="Times New Roman" w:cs="Times New Roman"/>
          <w:sz w:val="22"/>
          <w:szCs w:val="22"/>
        </w:rPr>
      </w:pPr>
      <w:r>
        <w:rPr>
          <w:rFonts w:hint="eastAsia" w:ascii="Times New Roman" w:hAnsi="Times New Roman" w:eastAsia="宋体" w:cs="Times New Roman"/>
          <w:kern w:val="2"/>
          <w:sz w:val="22"/>
          <w:szCs w:val="22"/>
          <w:lang w:val="en-US" w:eastAsia="zh-CN" w:bidi="ar-SA"/>
        </w:rPr>
        <w:t xml:space="preserve">Content Prioritization: Due to the extensive scope of the subject, not all content can be covered in depth. Key chapters are prioritized, while less exam-focused sections are briefly covered or omitted. Key teaching sections include Chapters 1–4 (common daily commodities with simple classification </w:t>
      </w:r>
      <w:r>
        <w:rPr>
          <w:rFonts w:hint="eastAsia" w:ascii="Times New Roman" w:hAnsi="Times New Roman" w:cs="Times New Roman"/>
          <w:sz w:val="22"/>
          <w:szCs w:val="22"/>
        </w:rPr>
        <w:t>rules, suitable for stimulating interest and mastering basic principles), as well as Chapters 6, 11, 15, 16, and 17 (major import/export commodities in China). Other sections require general understanding only.</w:t>
      </w:r>
    </w:p>
    <w:p w14:paraId="231FA993">
      <w:pPr>
        <w:pStyle w:val="2"/>
        <w:spacing w:line="300" w:lineRule="auto"/>
        <w:ind w:firstLine="437" w:firstLineChars="199"/>
        <w:rPr>
          <w:sz w:val="22"/>
          <w:szCs w:val="22"/>
        </w:rPr>
      </w:pPr>
      <w:r>
        <w:rPr>
          <w:rFonts w:hint="eastAsia" w:ascii="Times New Roman" w:hAnsi="Times New Roman" w:cs="Times New Roman"/>
          <w:b/>
          <w:bCs/>
          <w:sz w:val="22"/>
          <w:szCs w:val="22"/>
        </w:rPr>
        <w:t>IV</w:t>
      </w:r>
      <w:r>
        <w:rPr>
          <w:rFonts w:ascii="Times New Roman" w:hAnsi="Times New Roman" w:cs="Times New Roman"/>
          <w:b/>
          <w:bCs/>
          <w:sz w:val="22"/>
          <w:szCs w:val="22"/>
        </w:rPr>
        <w:t>. Key Teaching Points and Difficulties</w:t>
      </w:r>
    </w:p>
    <w:p w14:paraId="0FE9C72A">
      <w:pPr>
        <w:spacing w:line="300" w:lineRule="auto"/>
        <w:ind w:firstLine="440" w:firstLineChars="200"/>
        <w:rPr>
          <w:rFonts w:hint="eastAsia"/>
          <w:sz w:val="22"/>
          <w:szCs w:val="22"/>
        </w:rPr>
      </w:pPr>
      <w:r>
        <w:rPr>
          <w:rFonts w:hint="eastAsia"/>
          <w:sz w:val="22"/>
          <w:szCs w:val="22"/>
        </w:rPr>
        <w:t>•Key Points: Chapters 1–4, 6, 11, 15, 16, and 17 (core examination content for the Customs Professional Qualification Test).</w:t>
      </w:r>
    </w:p>
    <w:p w14:paraId="0EFBCA76">
      <w:pPr>
        <w:spacing w:line="300" w:lineRule="auto"/>
        <w:ind w:firstLine="440" w:firstLineChars="200"/>
        <w:rPr>
          <w:sz w:val="22"/>
          <w:szCs w:val="22"/>
        </w:rPr>
      </w:pPr>
      <w:r>
        <w:rPr>
          <w:rFonts w:hint="eastAsia"/>
          <w:sz w:val="22"/>
          <w:szCs w:val="22"/>
        </w:rPr>
        <w:t>•Difficult Points: Chapters 5, 6, and 16. These commodities are less familiar to students in daily life, requiring supplementary professional knowledge for full understanding.</w:t>
      </w:r>
    </w:p>
    <w:p w14:paraId="31B3133B">
      <w:pPr>
        <w:pStyle w:val="2"/>
        <w:spacing w:line="300" w:lineRule="auto"/>
        <w:ind w:firstLine="440" w:firstLineChars="200"/>
        <w:rPr>
          <w:sz w:val="22"/>
          <w:szCs w:val="22"/>
        </w:rPr>
      </w:pPr>
      <w:r>
        <w:rPr>
          <w:rFonts w:hint="eastAsia" w:ascii="Times New Roman" w:hAnsi="Times New Roman" w:cs="Times New Roman"/>
          <w:b/>
          <w:bCs/>
          <w:sz w:val="22"/>
          <w:szCs w:val="22"/>
        </w:rPr>
        <w:t>V</w:t>
      </w:r>
      <w:r>
        <w:rPr>
          <w:rFonts w:ascii="Times New Roman" w:hAnsi="Times New Roman" w:cs="Times New Roman"/>
          <w:b/>
          <w:bCs/>
          <w:sz w:val="22"/>
          <w:szCs w:val="22"/>
        </w:rPr>
        <w:t>. Measures and Means to Improve Teaching Quality</w:t>
      </w:r>
    </w:p>
    <w:p w14:paraId="0025544F">
      <w:pPr>
        <w:pStyle w:val="2"/>
        <w:widowControl w:val="0"/>
        <w:spacing w:line="300" w:lineRule="auto"/>
        <w:ind w:firstLine="440" w:firstLineChars="200"/>
        <w:textAlignment w:val="auto"/>
        <w:rPr>
          <w:rFonts w:ascii="Times New Roman" w:hAnsi="Times New Roman" w:cs="Times New Roman"/>
          <w:b w:val="0"/>
          <w:bCs w:val="0"/>
          <w:sz w:val="22"/>
          <w:szCs w:val="22"/>
          <w:lang w:val="en-US" w:eastAsia="zh-CN"/>
        </w:rPr>
      </w:pPr>
      <w:r>
        <w:rPr>
          <w:rFonts w:hint="eastAsia" w:ascii="Times New Roman" w:hAnsi="Times New Roman" w:cs="Times New Roman"/>
          <w:b w:val="0"/>
          <w:bCs w:val="0"/>
          <w:sz w:val="22"/>
          <w:szCs w:val="22"/>
          <w:lang w:val="en-US" w:eastAsia="zh-CN"/>
        </w:rPr>
        <w:t>5.</w:t>
      </w:r>
      <w:r>
        <w:rPr>
          <w:rFonts w:ascii="Times New Roman" w:hAnsi="Times New Roman" w:cs="Times New Roman"/>
          <w:b w:val="0"/>
          <w:bCs w:val="0"/>
          <w:sz w:val="22"/>
          <w:szCs w:val="22"/>
          <w:lang w:val="en-US" w:eastAsia="zh-CN"/>
        </w:rPr>
        <w:t>1. The unique nature of the "AI + Tariff Classification" course necessitates extensive practice to master classification techniques. Therefore, students are required to complete homework after studying each commodity category, supplemented with appropriately challenging cases and the use of AI-based classification tools to broaden their analytical approaches, thereby developing the professional classification skills needed for the digitalized customs clearance sector. The course includes approximately 500 practice questions, along with additional extracurricular exercises and case materials available on the Smart Vocational Education platform.</w:t>
      </w:r>
    </w:p>
    <w:p w14:paraId="486F91F2">
      <w:pPr>
        <w:pStyle w:val="2"/>
        <w:spacing w:line="300" w:lineRule="auto"/>
        <w:ind w:firstLine="433" w:firstLineChars="197"/>
        <w:rPr>
          <w:rFonts w:hint="eastAsia" w:ascii="Times New Roman" w:hAnsi="Times New Roman" w:eastAsia="宋体" w:cs="Times New Roman"/>
          <w:kern w:val="2"/>
          <w:sz w:val="22"/>
          <w:szCs w:val="22"/>
          <w:lang w:val="en-US" w:eastAsia="zh-CN" w:bidi="ar-SA"/>
        </w:rPr>
      </w:pPr>
      <w:r>
        <w:rPr>
          <w:rFonts w:hint="eastAsia" w:ascii="Times New Roman" w:hAnsi="Times New Roman" w:cs="Times New Roman"/>
          <w:b w:val="0"/>
          <w:bCs w:val="0"/>
          <w:sz w:val="22"/>
          <w:szCs w:val="22"/>
          <w:lang w:val="en-US" w:eastAsia="zh-CN"/>
        </w:rPr>
        <w:t>5.</w:t>
      </w:r>
      <w:r>
        <w:rPr>
          <w:rFonts w:ascii="Times New Roman" w:hAnsi="Times New Roman" w:cs="Times New Roman"/>
          <w:b w:val="0"/>
          <w:bCs w:val="0"/>
          <w:sz w:val="22"/>
          <w:szCs w:val="22"/>
          <w:lang w:val="en-US" w:eastAsia="zh-CN"/>
        </w:rPr>
        <w:t xml:space="preserve">2. Given that this course is relatively abstract and students lack product knowledge, instructors can prepare relevant visual materials or images to introduce product-related concepts, thereby stimulating students' interest, prompting questions, and fostering discussion; based on student inquiries and discussions, teachers should then introduce the corresponding instructional </w:t>
      </w:r>
      <w:r>
        <w:rPr>
          <w:rFonts w:hint="eastAsia" w:ascii="Times New Roman" w:hAnsi="Times New Roman" w:eastAsia="宋体" w:cs="Times New Roman"/>
          <w:kern w:val="2"/>
          <w:sz w:val="22"/>
          <w:szCs w:val="22"/>
          <w:lang w:val="en-US" w:eastAsia="zh-CN" w:bidi="ar-SA"/>
        </w:rPr>
        <w:t>content. Instructors should extensively reference various case studies and up-to-date materials to conduct progressive analysis and argumentation of challenging topics, with a focus on guiding students in developing analytical and argumentative skills.</w:t>
      </w:r>
    </w:p>
    <w:p w14:paraId="18E321ED">
      <w:pPr>
        <w:pStyle w:val="2"/>
        <w:spacing w:line="300" w:lineRule="auto"/>
        <w:ind w:firstLine="433" w:firstLineChars="197"/>
        <w:rPr>
          <w:rFonts w:hint="eastAsia" w:ascii="Times New Roman" w:hAnsi="Times New Roman" w:eastAsia="宋体" w:cs="Times New Roman"/>
          <w:kern w:val="2"/>
          <w:sz w:val="22"/>
          <w:szCs w:val="22"/>
          <w:lang w:val="en-US" w:eastAsia="zh-CN" w:bidi="ar-SA"/>
        </w:rPr>
      </w:pPr>
      <w:r>
        <w:rPr>
          <w:rFonts w:hint="eastAsia" w:ascii="Times New Roman" w:hAnsi="Times New Roman" w:eastAsia="宋体" w:cs="Times New Roman"/>
          <w:kern w:val="2"/>
          <w:sz w:val="22"/>
          <w:szCs w:val="22"/>
          <w:lang w:val="en-US" w:eastAsia="zh-CN" w:bidi="ar-SA"/>
        </w:rPr>
        <w:t>5.3. During the teaching of each key and challenging module, practical assignments are integrated into the curriculum content. Students are required to collect, organize, summarize, and analyze materials while participating in classroom discussions and exchanges. The objective is to develop their practical skills as well as their oral and written communication abilities in these areas. Teachers must evaluate and analyze students' assignments.</w:t>
      </w:r>
    </w:p>
    <w:p w14:paraId="639DC7AF">
      <w:pPr>
        <w:pStyle w:val="2"/>
        <w:spacing w:line="300" w:lineRule="auto"/>
        <w:ind w:firstLine="440" w:firstLineChars="200"/>
        <w:rPr>
          <w:sz w:val="22"/>
          <w:szCs w:val="22"/>
        </w:rPr>
      </w:pPr>
      <w:r>
        <w:rPr>
          <w:rFonts w:hint="eastAsia" w:ascii="Times New Roman" w:hAnsi="Times New Roman" w:cs="Times New Roman"/>
          <w:b/>
          <w:bCs/>
          <w:sz w:val="22"/>
          <w:szCs w:val="22"/>
        </w:rPr>
        <w:t>VI</w:t>
      </w:r>
      <w:r>
        <w:rPr>
          <w:rFonts w:ascii="Times New Roman" w:hAnsi="Times New Roman" w:cs="Times New Roman"/>
          <w:b/>
          <w:bCs/>
          <w:sz w:val="22"/>
          <w:szCs w:val="22"/>
        </w:rPr>
        <w:t>. Reform of teaching methods and evaluation methods</w:t>
      </w:r>
    </w:p>
    <w:p w14:paraId="478E71DD">
      <w:pPr>
        <w:pStyle w:val="2"/>
        <w:spacing w:line="300" w:lineRule="auto"/>
        <w:ind w:firstLine="433" w:firstLineChars="197"/>
        <w:rPr>
          <w:rFonts w:hint="eastAsia" w:ascii="Times New Roman" w:hAnsi="Times New Roman" w:eastAsia="宋体" w:cs="Times New Roman"/>
          <w:kern w:val="2"/>
          <w:sz w:val="22"/>
          <w:szCs w:val="22"/>
          <w:lang w:val="en-US" w:eastAsia="zh-CN" w:bidi="ar-SA"/>
        </w:rPr>
      </w:pPr>
      <w:r>
        <w:rPr>
          <w:rFonts w:hint="eastAsia" w:ascii="Times New Roman" w:hAnsi="Times New Roman" w:eastAsia="宋体" w:cs="Times New Roman"/>
          <w:kern w:val="2"/>
          <w:sz w:val="22"/>
          <w:szCs w:val="22"/>
          <w:lang w:val="en-US" w:eastAsia="zh-CN" w:bidi="ar-SA"/>
        </w:rPr>
        <w:t>6.1. Combining theoretical instruction with case analysis</w:t>
      </w:r>
    </w:p>
    <w:p w14:paraId="713D2DFC">
      <w:pPr>
        <w:pStyle w:val="2"/>
        <w:spacing w:line="300" w:lineRule="auto"/>
        <w:ind w:firstLine="433" w:firstLineChars="197"/>
        <w:rPr>
          <w:rFonts w:hint="eastAsia" w:ascii="Times New Roman" w:hAnsi="Times New Roman" w:eastAsia="宋体" w:cs="Times New Roman"/>
          <w:kern w:val="2"/>
          <w:sz w:val="22"/>
          <w:szCs w:val="22"/>
          <w:lang w:val="en-US" w:eastAsia="zh-CN" w:bidi="ar-SA"/>
        </w:rPr>
      </w:pPr>
      <w:r>
        <w:rPr>
          <w:rFonts w:hint="eastAsia" w:ascii="Times New Roman" w:hAnsi="Times New Roman" w:eastAsia="宋体" w:cs="Times New Roman"/>
          <w:kern w:val="2"/>
          <w:sz w:val="22"/>
          <w:szCs w:val="22"/>
          <w:lang w:val="en-US" w:eastAsia="zh-CN" w:bidi="ar-SA"/>
        </w:rPr>
        <w:t>The teaching approach for fundamental tariff classification theories involves instructor-led lectures to help students grasp key concepts, followed by the use of typical exercises or commodity case studies to elaborate and analyze the theories. This methodology aims to enhance students' understanding of core principles and improve their problem-solving capabilities.</w:t>
      </w:r>
    </w:p>
    <w:p w14:paraId="3A0B1FFA">
      <w:pPr>
        <w:pStyle w:val="2"/>
        <w:spacing w:line="300" w:lineRule="auto"/>
        <w:ind w:firstLine="433" w:firstLineChars="197"/>
        <w:rPr>
          <w:rFonts w:hint="eastAsia" w:ascii="Times New Roman" w:hAnsi="Times New Roman" w:eastAsia="宋体" w:cs="Times New Roman"/>
          <w:kern w:val="2"/>
          <w:sz w:val="22"/>
          <w:szCs w:val="22"/>
          <w:lang w:val="en-US" w:eastAsia="zh-CN" w:bidi="ar-SA"/>
        </w:rPr>
      </w:pPr>
      <w:r>
        <w:rPr>
          <w:rFonts w:hint="eastAsia" w:ascii="Times New Roman" w:hAnsi="Times New Roman" w:eastAsia="宋体" w:cs="Times New Roman"/>
          <w:kern w:val="2"/>
          <w:sz w:val="22"/>
          <w:szCs w:val="22"/>
          <w:lang w:val="en-US" w:eastAsia="zh-CN" w:bidi="ar-SA"/>
        </w:rPr>
        <w:t>6.2. Implement the classroom discussion teaching method</w:t>
      </w:r>
    </w:p>
    <w:p w14:paraId="0953B2B3">
      <w:pPr>
        <w:pStyle w:val="2"/>
        <w:spacing w:line="300" w:lineRule="auto"/>
        <w:ind w:firstLine="433" w:firstLineChars="197"/>
        <w:rPr>
          <w:rFonts w:hint="eastAsia" w:ascii="Times New Roman" w:hAnsi="Times New Roman" w:eastAsia="宋体" w:cs="Times New Roman"/>
          <w:kern w:val="2"/>
          <w:sz w:val="22"/>
          <w:szCs w:val="22"/>
          <w:lang w:val="en-US" w:eastAsia="zh-CN" w:bidi="ar-SA"/>
        </w:rPr>
      </w:pPr>
      <w:r>
        <w:rPr>
          <w:rFonts w:hint="eastAsia" w:ascii="Times New Roman" w:hAnsi="Times New Roman" w:eastAsia="宋体" w:cs="Times New Roman"/>
          <w:kern w:val="2"/>
          <w:sz w:val="22"/>
          <w:szCs w:val="22"/>
          <w:lang w:val="en-US" w:eastAsia="zh-CN" w:bidi="ar-SA"/>
        </w:rPr>
        <w:t>Adopting a student-centered approach maximizes students' initiative in learning tariff classification. This not only deepens their understanding of commodity knowledge but also enhances their ability to apply classification criteria, improves their logical thinking and practical application skills, while fully developing their language proficiency and communication abilities.</w:t>
      </w:r>
    </w:p>
    <w:p w14:paraId="2BF978EE">
      <w:pPr>
        <w:pStyle w:val="2"/>
        <w:spacing w:line="300" w:lineRule="auto"/>
        <w:ind w:firstLine="433" w:firstLineChars="197"/>
        <w:rPr>
          <w:rFonts w:hint="eastAsia" w:ascii="Times New Roman" w:hAnsi="Times New Roman" w:eastAsia="宋体" w:cs="Times New Roman"/>
          <w:kern w:val="2"/>
          <w:sz w:val="22"/>
          <w:szCs w:val="22"/>
          <w:lang w:val="en-US" w:eastAsia="zh-CN" w:bidi="ar-SA"/>
        </w:rPr>
      </w:pPr>
      <w:r>
        <w:rPr>
          <w:rFonts w:hint="eastAsia" w:ascii="Times New Roman" w:hAnsi="Times New Roman" w:eastAsia="宋体" w:cs="Times New Roman"/>
          <w:kern w:val="2"/>
          <w:sz w:val="22"/>
          <w:szCs w:val="22"/>
          <w:lang w:val="en-US" w:eastAsia="zh-CN" w:bidi="ar-SA"/>
        </w:rPr>
        <w:t>6.3. Utilizing information technology in teaching</w:t>
      </w:r>
    </w:p>
    <w:p w14:paraId="36E852CA">
      <w:pPr>
        <w:pStyle w:val="2"/>
        <w:spacing w:line="300" w:lineRule="auto"/>
        <w:ind w:firstLine="433" w:firstLineChars="197"/>
        <w:rPr>
          <w:rFonts w:hint="eastAsia" w:ascii="Times New Roman" w:hAnsi="Times New Roman" w:eastAsia="宋体" w:cs="Times New Roman"/>
          <w:kern w:val="2"/>
          <w:sz w:val="22"/>
          <w:szCs w:val="22"/>
          <w:lang w:val="en-US" w:eastAsia="zh-CN" w:bidi="ar-SA"/>
        </w:rPr>
      </w:pPr>
      <w:r>
        <w:rPr>
          <w:rFonts w:hint="eastAsia" w:ascii="Times New Roman" w:hAnsi="Times New Roman" w:eastAsia="宋体" w:cs="Times New Roman"/>
          <w:kern w:val="2"/>
          <w:sz w:val="22"/>
          <w:szCs w:val="22"/>
          <w:lang w:val="en-US" w:eastAsia="zh-CN" w:bidi="ar-SA"/>
        </w:rPr>
        <w:t>This course effectively incorporates AI-powered tools to enhance instructional support. Specifically, it employs complex classification cases to enable students to utilize AI tools for categorization, while also utilizing classification robots developed in collaboration with modern apprenticeship partners to provide correction and guidance. This approach enables students to master the proper use of enterprise AI classification tools in advance, fostering independent thinking and extended learning. Leveraging school multimedia facilities, the course develops multimedia courseware that integrates textual materials, images, and audiovisual resources, creating comprehensive, engaging, and multidimensional teaching experiences. In line with the latest Customs Commodity Pre-classification Regulations, the course continuously updates its content by sourcing the most recent information from online sources to ensure relevance and applicability.</w:t>
      </w:r>
    </w:p>
    <w:p w14:paraId="405631B9">
      <w:pPr>
        <w:pStyle w:val="2"/>
        <w:spacing w:line="300" w:lineRule="auto"/>
        <w:ind w:firstLine="433" w:firstLineChars="197"/>
        <w:rPr>
          <w:rFonts w:hint="eastAsia" w:ascii="Times New Roman" w:hAnsi="Times New Roman" w:eastAsia="宋体" w:cs="Times New Roman"/>
          <w:kern w:val="2"/>
          <w:sz w:val="22"/>
          <w:szCs w:val="22"/>
          <w:lang w:val="en-US" w:eastAsia="zh-CN" w:bidi="ar-SA"/>
        </w:rPr>
      </w:pPr>
      <w:r>
        <w:rPr>
          <w:rFonts w:hint="eastAsia" w:ascii="Times New Roman" w:hAnsi="Times New Roman" w:eastAsia="宋体" w:cs="Times New Roman"/>
          <w:kern w:val="2"/>
          <w:sz w:val="22"/>
          <w:szCs w:val="22"/>
          <w:lang w:val="en-US" w:eastAsia="zh-CN" w:bidi="ar-SA"/>
        </w:rPr>
        <w:t>6.4. Performance Evaluation</w:t>
      </w:r>
    </w:p>
    <w:p w14:paraId="03C2B597">
      <w:pPr>
        <w:pStyle w:val="2"/>
        <w:spacing w:line="300" w:lineRule="auto"/>
        <w:ind w:firstLine="433" w:firstLineChars="197"/>
        <w:rPr>
          <w:rFonts w:hint="eastAsia" w:ascii="Times New Roman" w:hAnsi="Times New Roman" w:eastAsia="宋体" w:cs="Times New Roman"/>
          <w:kern w:val="2"/>
          <w:sz w:val="22"/>
          <w:szCs w:val="22"/>
          <w:lang w:val="en-US" w:eastAsia="zh-CN" w:bidi="ar-SA"/>
        </w:rPr>
      </w:pPr>
      <w:r>
        <w:rPr>
          <w:rFonts w:hint="eastAsia" w:ascii="Times New Roman" w:hAnsi="Times New Roman" w:eastAsia="宋体" w:cs="Times New Roman"/>
          <w:kern w:val="2"/>
          <w:sz w:val="22"/>
          <w:szCs w:val="22"/>
          <w:lang w:val="en-US" w:eastAsia="zh-CN" w:bidi="ar-SA"/>
        </w:rPr>
        <w:t>Grade Composition: Regular performance and final exam scores each account for 50%.</w:t>
      </w:r>
    </w:p>
    <w:p w14:paraId="333A7CDC">
      <w:pPr>
        <w:pStyle w:val="2"/>
        <w:spacing w:line="300" w:lineRule="auto"/>
        <w:ind w:firstLine="433" w:firstLineChars="197"/>
        <w:rPr>
          <w:rFonts w:hint="eastAsia" w:ascii="Times New Roman" w:hAnsi="Times New Roman" w:eastAsia="宋体" w:cs="Times New Roman"/>
          <w:kern w:val="2"/>
          <w:sz w:val="22"/>
          <w:szCs w:val="22"/>
          <w:lang w:val="en-US" w:eastAsia="zh-CN" w:bidi="ar-SA"/>
        </w:rPr>
      </w:pPr>
      <w:r>
        <w:rPr>
          <w:rFonts w:hint="eastAsia" w:ascii="Times New Roman" w:hAnsi="Times New Roman" w:eastAsia="宋体" w:cs="Times New Roman"/>
          <w:kern w:val="2"/>
          <w:sz w:val="22"/>
          <w:szCs w:val="22"/>
          <w:lang w:val="en-US" w:eastAsia="zh-CN" w:bidi="ar-SA"/>
        </w:rPr>
        <w:t>Regular Assessment: Class attendance (10%); Classroom participation (10%); Homework (30%, including unit-based assignments and group projects).</w:t>
      </w:r>
    </w:p>
    <w:p w14:paraId="669DDE97">
      <w:pPr>
        <w:pStyle w:val="2"/>
        <w:spacing w:line="300" w:lineRule="auto"/>
        <w:ind w:firstLine="433" w:firstLineChars="197"/>
        <w:rPr>
          <w:rFonts w:hint="eastAsia" w:ascii="Times New Roman" w:hAnsi="Times New Roman" w:eastAsia="宋体" w:cs="Times New Roman"/>
          <w:kern w:val="2"/>
          <w:sz w:val="22"/>
          <w:szCs w:val="22"/>
          <w:lang w:val="en-US" w:eastAsia="zh-CN" w:bidi="ar-SA"/>
        </w:rPr>
      </w:pPr>
      <w:r>
        <w:rPr>
          <w:rFonts w:hint="eastAsia" w:ascii="Times New Roman" w:hAnsi="Times New Roman" w:eastAsia="宋体" w:cs="Times New Roman"/>
          <w:kern w:val="2"/>
          <w:sz w:val="22"/>
          <w:szCs w:val="22"/>
          <w:lang w:val="en-US" w:eastAsia="zh-CN" w:bidi="ar-SA"/>
        </w:rPr>
        <w:t>Final exam format: Closed-book paper test exam lasting 90 minutes.</w:t>
      </w:r>
    </w:p>
    <w:p w14:paraId="51713F44">
      <w:pPr>
        <w:pStyle w:val="2"/>
        <w:spacing w:line="300" w:lineRule="auto"/>
        <w:ind w:firstLine="440" w:firstLineChars="200"/>
        <w:rPr>
          <w:rFonts w:ascii="Times New Roman" w:hAnsi="Times New Roman" w:cs="Times New Roman"/>
          <w:b/>
          <w:sz w:val="22"/>
          <w:szCs w:val="22"/>
        </w:rPr>
      </w:pPr>
      <w:r>
        <w:rPr>
          <w:rFonts w:hint="eastAsia" w:ascii="Times New Roman" w:hAnsi="Times New Roman" w:cs="Times New Roman"/>
          <w:b/>
          <w:sz w:val="22"/>
          <w:szCs w:val="22"/>
        </w:rPr>
        <w:t>VII</w:t>
      </w:r>
      <w:r>
        <w:rPr>
          <w:rFonts w:ascii="Times New Roman" w:hAnsi="Times New Roman" w:cs="Times New Roman"/>
          <w:b/>
          <w:sz w:val="22"/>
          <w:szCs w:val="22"/>
        </w:rPr>
        <w:t>. Other Notes</w:t>
      </w:r>
    </w:p>
    <w:p w14:paraId="0094E993">
      <w:pPr>
        <w:pStyle w:val="2"/>
        <w:spacing w:line="300" w:lineRule="auto"/>
        <w:ind w:firstLine="440" w:firstLineChars="200"/>
        <w:rPr>
          <w:rFonts w:hint="eastAsia" w:ascii="Times New Roman" w:hAnsi="Times New Roman" w:eastAsia="宋体" w:cs="Times New Roman"/>
          <w:kern w:val="2"/>
          <w:sz w:val="22"/>
          <w:szCs w:val="22"/>
          <w:lang w:val="en-US" w:eastAsia="zh-CN" w:bidi="ar-SA"/>
        </w:rPr>
      </w:pPr>
      <w:r>
        <w:rPr>
          <w:rFonts w:hint="eastAsia" w:ascii="Times New Roman" w:hAnsi="Times New Roman" w:eastAsia="宋体" w:cs="Times New Roman"/>
          <w:kern w:val="2"/>
          <w:sz w:val="22"/>
          <w:szCs w:val="22"/>
          <w:lang w:val="en-US" w:eastAsia="zh-CN" w:bidi="ar-SA"/>
        </w:rPr>
        <w:t xml:space="preserve"> None</w:t>
      </w:r>
    </w:p>
    <w:p w14:paraId="6BD16605">
      <w:pPr>
        <w:pStyle w:val="2"/>
        <w:spacing w:line="300" w:lineRule="auto"/>
        <w:ind w:firstLine="433" w:firstLineChars="197"/>
        <w:rPr>
          <w:rFonts w:hint="eastAsia" w:ascii="Times New Roman" w:hAnsi="Times New Roman" w:eastAsia="宋体" w:cs="Times New Roman"/>
          <w:kern w:val="2"/>
          <w:sz w:val="22"/>
          <w:szCs w:val="22"/>
          <w:lang w:val="en-US" w:eastAsia="zh-CN" w:bidi="ar-SA"/>
        </w:rPr>
        <w:sectPr>
          <w:type w:val="continuous"/>
          <w:pgSz w:w="16840" w:h="11907" w:orient="landscape"/>
          <w:pgMar w:top="1021" w:right="1134" w:bottom="1021" w:left="1134" w:header="851" w:footer="992" w:gutter="0"/>
          <w:cols w:space="425" w:num="2"/>
          <w:docGrid w:type="linesAndChars" w:linePitch="318" w:charSpace="0"/>
        </w:sectPr>
      </w:pPr>
    </w:p>
    <w:tbl>
      <w:tblPr>
        <w:tblStyle w:val="5"/>
        <w:tblW w:w="131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800"/>
        <w:gridCol w:w="1653"/>
        <w:gridCol w:w="4733"/>
        <w:gridCol w:w="805"/>
        <w:gridCol w:w="1205"/>
        <w:gridCol w:w="2611"/>
        <w:gridCol w:w="636"/>
      </w:tblGrid>
      <w:tr w14:paraId="2A80D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4" w:hRule="atLeast"/>
          <w:tblHeader/>
          <w:jc w:val="center"/>
        </w:trPr>
        <w:tc>
          <w:tcPr>
            <w:tcW w:w="690" w:type="dxa"/>
            <w:vAlign w:val="center"/>
          </w:tcPr>
          <w:p w14:paraId="5B43C1CE">
            <w:pPr>
              <w:jc w:val="center"/>
              <w:rPr>
                <w:rFonts w:ascii="Times New Roman Bold" w:hAnsi="Times New Roman Bold" w:cs="Times New Roman Bold"/>
                <w:b/>
                <w:bCs/>
                <w:sz w:val="18"/>
                <w:szCs w:val="18"/>
              </w:rPr>
            </w:pPr>
            <w:r>
              <w:rPr>
                <w:rFonts w:ascii="Times New Roman Bold" w:hAnsi="Times New Roman Bold" w:cs="Times New Roman Bold"/>
                <w:b/>
                <w:bCs/>
                <w:sz w:val="18"/>
                <w:szCs w:val="18"/>
              </w:rPr>
              <w:t>NO.</w:t>
            </w:r>
          </w:p>
        </w:tc>
        <w:tc>
          <w:tcPr>
            <w:tcW w:w="800" w:type="dxa"/>
            <w:vAlign w:val="center"/>
          </w:tcPr>
          <w:p w14:paraId="516EE81B">
            <w:pPr>
              <w:jc w:val="center"/>
              <w:rPr>
                <w:rFonts w:ascii="Times New Roman Bold" w:hAnsi="Times New Roman Bold" w:cs="Times New Roman Bold"/>
                <w:b/>
                <w:bCs/>
                <w:sz w:val="18"/>
                <w:szCs w:val="18"/>
              </w:rPr>
            </w:pPr>
            <w:r>
              <w:rPr>
                <w:rFonts w:ascii="Times New Roman Bold" w:hAnsi="Times New Roman Bold" w:cs="Times New Roman Bold"/>
                <w:b/>
                <w:bCs/>
                <w:sz w:val="18"/>
                <w:szCs w:val="18"/>
              </w:rPr>
              <w:t>Teach</w:t>
            </w:r>
          </w:p>
          <w:p w14:paraId="26CB3FB5">
            <w:pPr>
              <w:jc w:val="center"/>
              <w:rPr>
                <w:rFonts w:ascii="Times New Roman Bold" w:hAnsi="Times New Roman Bold" w:cs="Times New Roman Bold"/>
                <w:b/>
                <w:bCs/>
                <w:sz w:val="18"/>
                <w:szCs w:val="18"/>
              </w:rPr>
            </w:pPr>
            <w:r>
              <w:rPr>
                <w:rFonts w:ascii="Times New Roman Bold" w:hAnsi="Times New Roman Bold" w:cs="Times New Roman Bold"/>
                <w:b/>
                <w:bCs/>
                <w:sz w:val="18"/>
                <w:szCs w:val="18"/>
              </w:rPr>
              <w:t>Week</w:t>
            </w:r>
          </w:p>
        </w:tc>
        <w:tc>
          <w:tcPr>
            <w:tcW w:w="1653" w:type="dxa"/>
            <w:vAlign w:val="center"/>
          </w:tcPr>
          <w:p w14:paraId="5E57CBCF">
            <w:pPr>
              <w:jc w:val="center"/>
              <w:rPr>
                <w:rFonts w:ascii="Times New Roman Bold" w:hAnsi="Times New Roman Bold" w:cs="Times New Roman Bold"/>
                <w:b/>
                <w:bCs/>
                <w:sz w:val="18"/>
                <w:szCs w:val="18"/>
              </w:rPr>
            </w:pPr>
            <w:r>
              <w:rPr>
                <w:rFonts w:ascii="Times New Roman Bold" w:hAnsi="Times New Roman Bold" w:cs="Times New Roman Bold"/>
                <w:b/>
                <w:bCs/>
                <w:sz w:val="18"/>
                <w:szCs w:val="18"/>
              </w:rPr>
              <w:t>Chapter</w:t>
            </w:r>
          </w:p>
        </w:tc>
        <w:tc>
          <w:tcPr>
            <w:tcW w:w="4733" w:type="dxa"/>
            <w:vAlign w:val="center"/>
          </w:tcPr>
          <w:p w14:paraId="6932A1DB">
            <w:pPr>
              <w:jc w:val="center"/>
              <w:rPr>
                <w:rFonts w:ascii="Times New Roman Bold" w:hAnsi="Times New Roman Bold" w:cs="Times New Roman Bold"/>
                <w:b/>
                <w:bCs/>
                <w:sz w:val="18"/>
                <w:szCs w:val="18"/>
              </w:rPr>
            </w:pPr>
            <w:r>
              <w:rPr>
                <w:rFonts w:ascii="Times New Roman Bold" w:hAnsi="Times New Roman Bold" w:cs="Times New Roman Bold"/>
                <w:b/>
                <w:bCs/>
                <w:sz w:val="18"/>
                <w:szCs w:val="18"/>
              </w:rPr>
              <w:t>Teaching content</w:t>
            </w:r>
          </w:p>
        </w:tc>
        <w:tc>
          <w:tcPr>
            <w:tcW w:w="805" w:type="dxa"/>
            <w:vAlign w:val="center"/>
          </w:tcPr>
          <w:p w14:paraId="567850B5">
            <w:pPr>
              <w:jc w:val="center"/>
              <w:rPr>
                <w:rFonts w:ascii="Times New Roman Bold" w:hAnsi="Times New Roman Bold" w:cs="Times New Roman Bold"/>
                <w:b/>
                <w:bCs/>
                <w:color w:val="0D0D0D"/>
                <w:sz w:val="18"/>
                <w:szCs w:val="18"/>
              </w:rPr>
            </w:pPr>
            <w:r>
              <w:rPr>
                <w:rFonts w:ascii="Times New Roman Bold" w:hAnsi="Times New Roman Bold" w:cs="Times New Roman Bold"/>
                <w:b/>
                <w:bCs/>
                <w:color w:val="0D0D0D"/>
                <w:sz w:val="18"/>
                <w:szCs w:val="18"/>
              </w:rPr>
              <w:t>Class hours</w:t>
            </w:r>
          </w:p>
        </w:tc>
        <w:tc>
          <w:tcPr>
            <w:tcW w:w="1205" w:type="dxa"/>
            <w:vAlign w:val="center"/>
          </w:tcPr>
          <w:p w14:paraId="60BD1D26">
            <w:pPr>
              <w:jc w:val="center"/>
              <w:rPr>
                <w:rFonts w:ascii="Times New Roman Bold" w:hAnsi="Times New Roman Bold" w:cs="Times New Roman Bold"/>
                <w:b/>
                <w:bCs/>
                <w:sz w:val="18"/>
                <w:szCs w:val="18"/>
              </w:rPr>
            </w:pPr>
            <w:r>
              <w:rPr>
                <w:rFonts w:ascii="Times New Roman Bold" w:hAnsi="Times New Roman Bold" w:cs="Times New Roman Bold"/>
                <w:b/>
                <w:bCs/>
                <w:sz w:val="18"/>
                <w:szCs w:val="18"/>
              </w:rPr>
              <w:t>Teaching methods</w:t>
            </w:r>
          </w:p>
        </w:tc>
        <w:tc>
          <w:tcPr>
            <w:tcW w:w="2611" w:type="dxa"/>
            <w:vAlign w:val="center"/>
          </w:tcPr>
          <w:p w14:paraId="52141C23">
            <w:pPr>
              <w:jc w:val="center"/>
              <w:rPr>
                <w:rFonts w:ascii="Times New Roman Bold" w:hAnsi="Times New Roman Bold" w:cs="Times New Roman Bold"/>
                <w:b/>
                <w:bCs/>
                <w:sz w:val="18"/>
                <w:szCs w:val="18"/>
              </w:rPr>
            </w:pPr>
            <w:r>
              <w:rPr>
                <w:rFonts w:ascii="Times New Roman Bold" w:hAnsi="Times New Roman Bold" w:cs="Times New Roman Bold"/>
                <w:b/>
                <w:bCs/>
                <w:sz w:val="18"/>
                <w:szCs w:val="18"/>
              </w:rPr>
              <w:t>Work assignments</w:t>
            </w:r>
          </w:p>
          <w:p w14:paraId="688842AE">
            <w:pPr>
              <w:jc w:val="center"/>
              <w:rPr>
                <w:rFonts w:ascii="Times New Roman Bold" w:hAnsi="Times New Roman Bold" w:cs="Times New Roman Bold"/>
                <w:b/>
                <w:bCs/>
                <w:sz w:val="18"/>
                <w:szCs w:val="18"/>
              </w:rPr>
            </w:pPr>
            <w:r>
              <w:rPr>
                <w:rFonts w:ascii="Times New Roman Bold" w:hAnsi="Times New Roman Bold" w:cs="Times New Roman Bold"/>
                <w:b/>
                <w:bCs/>
                <w:sz w:val="18"/>
                <w:szCs w:val="18"/>
              </w:rPr>
              <w:t>(Note in-class and extracurricular)</w:t>
            </w:r>
          </w:p>
        </w:tc>
        <w:tc>
          <w:tcPr>
            <w:tcW w:w="636" w:type="dxa"/>
            <w:vAlign w:val="center"/>
          </w:tcPr>
          <w:p w14:paraId="4E72F07E">
            <w:pPr>
              <w:jc w:val="center"/>
              <w:rPr>
                <w:rFonts w:ascii="Times New Roman Bold" w:hAnsi="Times New Roman Bold" w:cs="Times New Roman Bold"/>
                <w:b/>
                <w:bCs/>
                <w:sz w:val="18"/>
                <w:szCs w:val="18"/>
              </w:rPr>
            </w:pPr>
            <w:r>
              <w:rPr>
                <w:rFonts w:ascii="Times New Roman Bold" w:hAnsi="Times New Roman Bold" w:cs="Times New Roman Bold"/>
                <w:b/>
                <w:bCs/>
                <w:sz w:val="18"/>
                <w:szCs w:val="18"/>
              </w:rPr>
              <w:t>Note</w:t>
            </w:r>
          </w:p>
        </w:tc>
      </w:tr>
      <w:tr w14:paraId="61133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90" w:type="dxa"/>
            <w:vAlign w:val="center"/>
          </w:tcPr>
          <w:p w14:paraId="2CFBAD4E">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1</w:t>
            </w:r>
          </w:p>
        </w:tc>
        <w:tc>
          <w:tcPr>
            <w:tcW w:w="800" w:type="dxa"/>
            <w:vAlign w:val="center"/>
          </w:tcPr>
          <w:p w14:paraId="4E346067">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1</w:t>
            </w:r>
          </w:p>
        </w:tc>
        <w:tc>
          <w:tcPr>
            <w:tcW w:w="1653" w:type="dxa"/>
            <w:vAlign w:val="center"/>
          </w:tcPr>
          <w:p w14:paraId="4A632BCE">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hint="eastAsia" w:eastAsia="微软雅黑"/>
                <w:b w:val="0"/>
                <w:i w:val="0"/>
                <w:caps w:val="0"/>
                <w:spacing w:val="0"/>
                <w:w w:val="100"/>
                <w:kern w:val="2"/>
                <w:sz w:val="18"/>
                <w:szCs w:val="18"/>
                <w:lang w:val="en-US" w:eastAsia="zh-CN" w:bidi="ar-SA"/>
              </w:rPr>
              <w:t>I</w:t>
            </w:r>
            <w:r>
              <w:rPr>
                <w:rStyle w:val="10"/>
                <w:rFonts w:ascii="Times New Roman" w:eastAsia="微软雅黑"/>
                <w:b w:val="0"/>
                <w:i w:val="0"/>
                <w:caps w:val="0"/>
                <w:spacing w:val="0"/>
                <w:w w:val="100"/>
                <w:kern w:val="2"/>
                <w:sz w:val="18"/>
                <w:szCs w:val="18"/>
                <w:lang w:val="en-US" w:eastAsia="zh-CN" w:bidi="ar-SA"/>
              </w:rPr>
              <w:t>ntroduction</w:t>
            </w:r>
          </w:p>
        </w:tc>
        <w:tc>
          <w:tcPr>
            <w:tcW w:w="4733" w:type="dxa"/>
            <w:vAlign w:val="center"/>
          </w:tcPr>
          <w:p w14:paraId="59945640">
            <w:pPr>
              <w:snapToGrid w:val="0"/>
              <w:spacing w:before="0" w:beforeAutospacing="0" w:after="0" w:afterAutospacing="0" w:line="240" w:lineRule="auto"/>
              <w:ind w:left="0" w:leftChars="0" w:right="0" w:rightChars="0" w:firstLine="0" w:firstLineChars="0"/>
              <w:jc w:val="left"/>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The commodity coordination system and classification criteria; General Classification Rules 1–2</w:t>
            </w:r>
          </w:p>
        </w:tc>
        <w:tc>
          <w:tcPr>
            <w:tcW w:w="805" w:type="dxa"/>
            <w:vAlign w:val="center"/>
          </w:tcPr>
          <w:p w14:paraId="2ABDBBFA">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color w:val="0D0D0D"/>
                <w:spacing w:val="0"/>
                <w:w w:val="100"/>
                <w:kern w:val="2"/>
                <w:sz w:val="18"/>
                <w:szCs w:val="18"/>
                <w:lang w:val="en-US" w:eastAsia="zh-CN" w:bidi="ar-SA"/>
              </w:rPr>
              <w:t>4</w:t>
            </w:r>
          </w:p>
        </w:tc>
        <w:tc>
          <w:tcPr>
            <w:tcW w:w="1205" w:type="dxa"/>
            <w:vAlign w:val="center"/>
          </w:tcPr>
          <w:p w14:paraId="4BE140C8">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Combining practice with instruction</w:t>
            </w:r>
          </w:p>
        </w:tc>
        <w:tc>
          <w:tcPr>
            <w:tcW w:w="2611" w:type="dxa"/>
            <w:vAlign w:val="center"/>
          </w:tcPr>
          <w:p w14:paraId="1B7F2621">
            <w:pPr>
              <w:snapToGrid w:val="0"/>
              <w:spacing w:before="0" w:beforeAutospacing="0" w:after="0" w:afterAutospacing="0" w:line="240" w:lineRule="auto"/>
              <w:ind w:left="0" w:leftChars="0" w:right="0" w:rightChars="0" w:firstLine="0" w:firstLineChars="0"/>
              <w:jc w:val="left"/>
              <w:textAlignment w:val="baseline"/>
              <w:rPr>
                <w:sz w:val="18"/>
                <w:szCs w:val="18"/>
              </w:rPr>
            </w:pPr>
          </w:p>
        </w:tc>
        <w:tc>
          <w:tcPr>
            <w:tcW w:w="636" w:type="dxa"/>
            <w:vAlign w:val="center"/>
          </w:tcPr>
          <w:p w14:paraId="77E681EC">
            <w:pPr>
              <w:snapToGrid w:val="0"/>
              <w:spacing w:before="0" w:beforeAutospacing="0" w:after="0" w:afterAutospacing="0" w:line="240" w:lineRule="auto"/>
              <w:ind w:left="0" w:leftChars="0" w:right="0" w:rightChars="0" w:firstLine="0" w:firstLineChars="0"/>
              <w:jc w:val="center"/>
              <w:textAlignment w:val="baseline"/>
              <w:rPr>
                <w:sz w:val="18"/>
                <w:szCs w:val="18"/>
              </w:rPr>
            </w:pPr>
          </w:p>
        </w:tc>
      </w:tr>
      <w:tr w14:paraId="5E84B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90" w:type="dxa"/>
            <w:vAlign w:val="center"/>
          </w:tcPr>
          <w:p w14:paraId="38E2E548">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2</w:t>
            </w:r>
          </w:p>
        </w:tc>
        <w:tc>
          <w:tcPr>
            <w:tcW w:w="800" w:type="dxa"/>
            <w:vAlign w:val="center"/>
          </w:tcPr>
          <w:p w14:paraId="7382CBED">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2</w:t>
            </w:r>
          </w:p>
        </w:tc>
        <w:tc>
          <w:tcPr>
            <w:tcW w:w="1653" w:type="dxa"/>
            <w:vAlign w:val="center"/>
          </w:tcPr>
          <w:p w14:paraId="7BD63BF4">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hint="eastAsia" w:eastAsia="微软雅黑"/>
                <w:b w:val="0"/>
                <w:i w:val="0"/>
                <w:caps w:val="0"/>
                <w:spacing w:val="0"/>
                <w:w w:val="100"/>
                <w:kern w:val="2"/>
                <w:sz w:val="18"/>
                <w:szCs w:val="18"/>
                <w:lang w:val="en-US" w:eastAsia="zh-CN" w:bidi="ar-SA"/>
              </w:rPr>
              <w:t>I</w:t>
            </w:r>
            <w:r>
              <w:rPr>
                <w:rStyle w:val="10"/>
                <w:rFonts w:ascii="Times New Roman" w:eastAsia="微软雅黑"/>
                <w:b w:val="0"/>
                <w:i w:val="0"/>
                <w:caps w:val="0"/>
                <w:spacing w:val="0"/>
                <w:w w:val="100"/>
                <w:kern w:val="2"/>
                <w:sz w:val="18"/>
                <w:szCs w:val="18"/>
                <w:lang w:val="en-US" w:eastAsia="zh-CN" w:bidi="ar-SA"/>
              </w:rPr>
              <w:t>ntroduction</w:t>
            </w:r>
          </w:p>
        </w:tc>
        <w:tc>
          <w:tcPr>
            <w:tcW w:w="4733" w:type="dxa"/>
            <w:vAlign w:val="center"/>
          </w:tcPr>
          <w:p w14:paraId="64C6FF64">
            <w:pPr>
              <w:snapToGrid w:val="0"/>
              <w:spacing w:before="0" w:beforeAutospacing="0" w:after="0" w:afterAutospacing="0" w:line="240" w:lineRule="auto"/>
              <w:ind w:left="0" w:leftChars="0" w:right="0" w:rightChars="0" w:firstLine="0" w:firstLineChars="0"/>
              <w:jc w:val="left"/>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General Classification Rules 3–4;</w:t>
            </w:r>
          </w:p>
        </w:tc>
        <w:tc>
          <w:tcPr>
            <w:tcW w:w="805" w:type="dxa"/>
            <w:vAlign w:val="center"/>
          </w:tcPr>
          <w:p w14:paraId="414093FE">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color w:val="0D0D0D"/>
                <w:spacing w:val="0"/>
                <w:w w:val="100"/>
                <w:kern w:val="2"/>
                <w:sz w:val="18"/>
                <w:szCs w:val="18"/>
                <w:lang w:val="en-US" w:eastAsia="zh-CN" w:bidi="ar-SA"/>
              </w:rPr>
              <w:t>4</w:t>
            </w:r>
          </w:p>
        </w:tc>
        <w:tc>
          <w:tcPr>
            <w:tcW w:w="1205" w:type="dxa"/>
            <w:vAlign w:val="center"/>
          </w:tcPr>
          <w:p w14:paraId="657A49FE">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Combining practice with instruction</w:t>
            </w:r>
          </w:p>
        </w:tc>
        <w:tc>
          <w:tcPr>
            <w:tcW w:w="2611" w:type="dxa"/>
            <w:vAlign w:val="center"/>
          </w:tcPr>
          <w:p w14:paraId="1F75837F">
            <w:pPr>
              <w:snapToGrid w:val="0"/>
              <w:spacing w:before="0" w:beforeAutospacing="0" w:after="0" w:afterAutospacing="0" w:line="240" w:lineRule="auto"/>
              <w:ind w:left="0" w:leftChars="0" w:right="0" w:rightChars="0" w:firstLine="0" w:firstLineChars="0"/>
              <w:jc w:val="left"/>
              <w:textAlignment w:val="baseline"/>
              <w:rPr>
                <w:sz w:val="18"/>
                <w:szCs w:val="18"/>
              </w:rPr>
            </w:pPr>
            <w:r>
              <w:rPr>
                <w:rStyle w:val="10"/>
                <w:rFonts w:ascii="Times New Roman" w:hAnsi="Segoe UI" w:eastAsia="微软雅黑"/>
                <w:b w:val="0"/>
                <w:i w:val="0"/>
                <w:caps w:val="0"/>
                <w:color w:val="000000"/>
                <w:spacing w:val="0"/>
                <w:w w:val="100"/>
                <w:kern w:val="2"/>
                <w:sz w:val="18"/>
                <w:szCs w:val="18"/>
                <w:lang w:val="en-US" w:eastAsia="zh-CN" w:bidi="ar-SA"/>
              </w:rPr>
              <w:t>Post-class Exercise 1</w:t>
            </w:r>
          </w:p>
        </w:tc>
        <w:tc>
          <w:tcPr>
            <w:tcW w:w="636" w:type="dxa"/>
            <w:vAlign w:val="center"/>
          </w:tcPr>
          <w:p w14:paraId="7A425A07">
            <w:pPr>
              <w:snapToGrid w:val="0"/>
              <w:spacing w:before="0" w:beforeAutospacing="0" w:after="0" w:afterAutospacing="0" w:line="240" w:lineRule="auto"/>
              <w:ind w:left="0" w:leftChars="0" w:right="0" w:rightChars="0" w:firstLine="0" w:firstLineChars="0"/>
              <w:jc w:val="center"/>
              <w:textAlignment w:val="baseline"/>
              <w:rPr>
                <w:sz w:val="18"/>
                <w:szCs w:val="18"/>
              </w:rPr>
            </w:pPr>
          </w:p>
        </w:tc>
      </w:tr>
      <w:tr w14:paraId="0CF43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90" w:type="dxa"/>
            <w:vAlign w:val="center"/>
          </w:tcPr>
          <w:p w14:paraId="24434665">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3</w:t>
            </w:r>
          </w:p>
        </w:tc>
        <w:tc>
          <w:tcPr>
            <w:tcW w:w="800" w:type="dxa"/>
            <w:vAlign w:val="center"/>
          </w:tcPr>
          <w:p w14:paraId="43F0649C">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3</w:t>
            </w:r>
          </w:p>
        </w:tc>
        <w:tc>
          <w:tcPr>
            <w:tcW w:w="1653" w:type="dxa"/>
            <w:vAlign w:val="center"/>
          </w:tcPr>
          <w:p w14:paraId="78509F4B">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color w:val="0D0D0D"/>
                <w:spacing w:val="0"/>
                <w:w w:val="100"/>
                <w:kern w:val="2"/>
                <w:sz w:val="18"/>
                <w:szCs w:val="18"/>
                <w:lang w:val="en-US" w:eastAsia="zh-CN" w:bidi="ar-SA"/>
              </w:rPr>
              <w:t>Review the general principles and Chapters 1 and 3.</w:t>
            </w:r>
          </w:p>
        </w:tc>
        <w:tc>
          <w:tcPr>
            <w:tcW w:w="4733" w:type="dxa"/>
            <w:vAlign w:val="center"/>
          </w:tcPr>
          <w:p w14:paraId="47FBEC4B">
            <w:pPr>
              <w:snapToGrid w:val="0"/>
              <w:spacing w:before="0" w:beforeAutospacing="0" w:after="0" w:afterAutospacing="0" w:line="240" w:lineRule="auto"/>
              <w:ind w:left="0" w:leftChars="0" w:right="0" w:rightChars="0" w:firstLine="0" w:firstLineChars="0"/>
              <w:jc w:val="left"/>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General Classification Rules 5–6; Review the classification rules;</w:t>
            </w:r>
          </w:p>
        </w:tc>
        <w:tc>
          <w:tcPr>
            <w:tcW w:w="805" w:type="dxa"/>
            <w:vAlign w:val="center"/>
          </w:tcPr>
          <w:p w14:paraId="26A4D064">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color w:val="0D0D0D"/>
                <w:spacing w:val="0"/>
                <w:w w:val="100"/>
                <w:kern w:val="2"/>
                <w:sz w:val="18"/>
                <w:szCs w:val="18"/>
                <w:lang w:val="en-US" w:eastAsia="zh-CN" w:bidi="ar-SA"/>
              </w:rPr>
              <w:t>4</w:t>
            </w:r>
          </w:p>
        </w:tc>
        <w:tc>
          <w:tcPr>
            <w:tcW w:w="1205" w:type="dxa"/>
            <w:vAlign w:val="center"/>
          </w:tcPr>
          <w:p w14:paraId="1BDB4953">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Combining practice with instruction</w:t>
            </w:r>
          </w:p>
        </w:tc>
        <w:tc>
          <w:tcPr>
            <w:tcW w:w="2611" w:type="dxa"/>
            <w:vAlign w:val="center"/>
          </w:tcPr>
          <w:p w14:paraId="4698A315">
            <w:pPr>
              <w:snapToGrid w:val="0"/>
              <w:spacing w:before="0" w:beforeAutospacing="0" w:after="0" w:afterAutospacing="0" w:line="240" w:lineRule="auto"/>
              <w:ind w:left="0" w:leftChars="0" w:right="0" w:rightChars="0" w:firstLine="0" w:firstLineChars="0"/>
              <w:jc w:val="left"/>
              <w:textAlignment w:val="baseline"/>
              <w:rPr>
                <w:sz w:val="18"/>
                <w:szCs w:val="18"/>
              </w:rPr>
            </w:pPr>
          </w:p>
        </w:tc>
        <w:tc>
          <w:tcPr>
            <w:tcW w:w="636" w:type="dxa"/>
            <w:vAlign w:val="center"/>
          </w:tcPr>
          <w:p w14:paraId="68B543BA">
            <w:pPr>
              <w:snapToGrid w:val="0"/>
              <w:spacing w:before="0" w:beforeAutospacing="0" w:after="0" w:afterAutospacing="0" w:line="240" w:lineRule="auto"/>
              <w:ind w:left="0" w:leftChars="0" w:right="0" w:rightChars="0" w:firstLine="0" w:firstLineChars="0"/>
              <w:jc w:val="center"/>
              <w:textAlignment w:val="baseline"/>
              <w:rPr>
                <w:sz w:val="18"/>
                <w:szCs w:val="18"/>
              </w:rPr>
            </w:pPr>
          </w:p>
        </w:tc>
      </w:tr>
      <w:tr w14:paraId="1203B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90" w:type="dxa"/>
            <w:vAlign w:val="center"/>
          </w:tcPr>
          <w:p w14:paraId="0F8A1FBE">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4</w:t>
            </w:r>
          </w:p>
        </w:tc>
        <w:tc>
          <w:tcPr>
            <w:tcW w:w="800" w:type="dxa"/>
            <w:vAlign w:val="center"/>
          </w:tcPr>
          <w:p w14:paraId="40F07FD5">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4</w:t>
            </w:r>
          </w:p>
        </w:tc>
        <w:tc>
          <w:tcPr>
            <w:tcW w:w="1653" w:type="dxa"/>
            <w:vAlign w:val="center"/>
          </w:tcPr>
          <w:p w14:paraId="6564F6FA">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color w:val="0D0D0D"/>
                <w:spacing w:val="0"/>
                <w:w w:val="100"/>
                <w:kern w:val="2"/>
                <w:sz w:val="18"/>
                <w:szCs w:val="18"/>
                <w:lang w:val="en-US" w:eastAsia="zh-CN" w:bidi="ar-SA"/>
              </w:rPr>
              <w:t>Chapters 2, 4, and 5</w:t>
            </w:r>
          </w:p>
        </w:tc>
        <w:tc>
          <w:tcPr>
            <w:tcW w:w="4733" w:type="dxa"/>
            <w:vAlign w:val="center"/>
          </w:tcPr>
          <w:p w14:paraId="6D63C489">
            <w:pPr>
              <w:snapToGrid w:val="0"/>
              <w:spacing w:before="0" w:beforeAutospacing="0" w:after="0" w:afterAutospacing="0" w:line="240" w:lineRule="auto"/>
              <w:ind w:left="0" w:leftChars="0" w:right="0" w:rightChars="0" w:firstLine="0" w:firstLineChars="0"/>
              <w:jc w:val="left"/>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Category 1: Live animals; Animal products;</w:t>
            </w:r>
          </w:p>
        </w:tc>
        <w:tc>
          <w:tcPr>
            <w:tcW w:w="805" w:type="dxa"/>
            <w:vAlign w:val="center"/>
          </w:tcPr>
          <w:p w14:paraId="2777B54E">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4</w:t>
            </w:r>
          </w:p>
        </w:tc>
        <w:tc>
          <w:tcPr>
            <w:tcW w:w="1205" w:type="dxa"/>
            <w:vAlign w:val="center"/>
          </w:tcPr>
          <w:p w14:paraId="36733CCA">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Combining practice with instruction</w:t>
            </w:r>
          </w:p>
        </w:tc>
        <w:tc>
          <w:tcPr>
            <w:tcW w:w="2611" w:type="dxa"/>
            <w:vAlign w:val="center"/>
          </w:tcPr>
          <w:p w14:paraId="079E6B0C">
            <w:pPr>
              <w:snapToGrid w:val="0"/>
              <w:spacing w:before="0" w:beforeAutospacing="0" w:after="0" w:afterAutospacing="0" w:line="240" w:lineRule="auto"/>
              <w:ind w:left="0" w:leftChars="0" w:right="0" w:rightChars="0" w:firstLine="0" w:firstLineChars="0"/>
              <w:jc w:val="left"/>
              <w:textAlignment w:val="baseline"/>
              <w:rPr>
                <w:sz w:val="18"/>
                <w:szCs w:val="18"/>
              </w:rPr>
            </w:pPr>
            <w:r>
              <w:rPr>
                <w:rStyle w:val="10"/>
                <w:rFonts w:ascii="Times New Roman" w:hAnsi="Segoe UI" w:eastAsia="微软雅黑"/>
                <w:b w:val="0"/>
                <w:i w:val="0"/>
                <w:caps w:val="0"/>
                <w:color w:val="000000"/>
                <w:spacing w:val="0"/>
                <w:w w:val="100"/>
                <w:kern w:val="2"/>
                <w:sz w:val="18"/>
                <w:szCs w:val="18"/>
                <w:lang w:val="en-US" w:eastAsia="zh-CN" w:bidi="ar-SA"/>
              </w:rPr>
              <w:t>Post-class Exercise 2</w:t>
            </w:r>
          </w:p>
        </w:tc>
        <w:tc>
          <w:tcPr>
            <w:tcW w:w="636" w:type="dxa"/>
            <w:vAlign w:val="center"/>
          </w:tcPr>
          <w:p w14:paraId="779E6132">
            <w:pPr>
              <w:snapToGrid w:val="0"/>
              <w:spacing w:before="0" w:beforeAutospacing="0" w:after="0" w:afterAutospacing="0" w:line="240" w:lineRule="auto"/>
              <w:ind w:left="0" w:leftChars="0" w:right="0" w:rightChars="0" w:firstLine="0" w:firstLineChars="0"/>
              <w:jc w:val="center"/>
              <w:textAlignment w:val="baseline"/>
              <w:rPr>
                <w:sz w:val="18"/>
                <w:szCs w:val="18"/>
              </w:rPr>
            </w:pPr>
          </w:p>
        </w:tc>
      </w:tr>
      <w:tr w14:paraId="331DF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90" w:type="dxa"/>
            <w:vAlign w:val="center"/>
          </w:tcPr>
          <w:p w14:paraId="33352289">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5</w:t>
            </w:r>
          </w:p>
        </w:tc>
        <w:tc>
          <w:tcPr>
            <w:tcW w:w="800" w:type="dxa"/>
            <w:vAlign w:val="center"/>
          </w:tcPr>
          <w:p w14:paraId="187AB564">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5</w:t>
            </w:r>
          </w:p>
        </w:tc>
        <w:tc>
          <w:tcPr>
            <w:tcW w:w="1653" w:type="dxa"/>
            <w:vAlign w:val="center"/>
          </w:tcPr>
          <w:p w14:paraId="368D8C14">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color w:val="0D0D0D"/>
                <w:spacing w:val="0"/>
                <w:w w:val="100"/>
                <w:kern w:val="2"/>
                <w:sz w:val="18"/>
                <w:szCs w:val="18"/>
                <w:lang w:val="en-US" w:eastAsia="zh-CN" w:bidi="ar-SA"/>
              </w:rPr>
              <w:t>Chapters 6–9</w:t>
            </w:r>
          </w:p>
        </w:tc>
        <w:tc>
          <w:tcPr>
            <w:tcW w:w="4733" w:type="dxa"/>
            <w:vAlign w:val="center"/>
          </w:tcPr>
          <w:p w14:paraId="6F43B16E">
            <w:pPr>
              <w:snapToGrid w:val="0"/>
              <w:spacing w:before="0" w:beforeAutospacing="0" w:after="0" w:afterAutospacing="0" w:line="240" w:lineRule="auto"/>
              <w:ind w:left="0" w:leftChars="0" w:right="0" w:rightChars="0" w:firstLine="0" w:firstLineChars="0"/>
              <w:jc w:val="left"/>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Category 2: Plant products;</w:t>
            </w:r>
          </w:p>
        </w:tc>
        <w:tc>
          <w:tcPr>
            <w:tcW w:w="805" w:type="dxa"/>
            <w:vAlign w:val="center"/>
          </w:tcPr>
          <w:p w14:paraId="12FAC4D2">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4</w:t>
            </w:r>
          </w:p>
        </w:tc>
        <w:tc>
          <w:tcPr>
            <w:tcW w:w="1205" w:type="dxa"/>
            <w:vAlign w:val="center"/>
          </w:tcPr>
          <w:p w14:paraId="395D6982">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Combining practice with instruction</w:t>
            </w:r>
          </w:p>
        </w:tc>
        <w:tc>
          <w:tcPr>
            <w:tcW w:w="2611" w:type="dxa"/>
            <w:vAlign w:val="center"/>
          </w:tcPr>
          <w:p w14:paraId="30F25167">
            <w:pPr>
              <w:snapToGrid w:val="0"/>
              <w:spacing w:before="0" w:beforeAutospacing="0" w:after="0" w:afterAutospacing="0" w:line="240" w:lineRule="auto"/>
              <w:ind w:left="0" w:leftChars="0" w:right="0" w:rightChars="0" w:firstLine="0" w:firstLineChars="0"/>
              <w:jc w:val="left"/>
              <w:textAlignment w:val="baseline"/>
              <w:rPr>
                <w:sz w:val="18"/>
                <w:szCs w:val="18"/>
              </w:rPr>
            </w:pPr>
          </w:p>
        </w:tc>
        <w:tc>
          <w:tcPr>
            <w:tcW w:w="636" w:type="dxa"/>
            <w:vAlign w:val="center"/>
          </w:tcPr>
          <w:p w14:paraId="16D6378E">
            <w:pPr>
              <w:snapToGrid w:val="0"/>
              <w:spacing w:before="0" w:beforeAutospacing="0" w:after="0" w:afterAutospacing="0" w:line="240" w:lineRule="auto"/>
              <w:ind w:left="0" w:leftChars="0" w:right="0" w:rightChars="0" w:firstLine="0" w:firstLineChars="0"/>
              <w:jc w:val="center"/>
              <w:textAlignment w:val="baseline"/>
              <w:rPr>
                <w:sz w:val="18"/>
                <w:szCs w:val="18"/>
              </w:rPr>
            </w:pPr>
          </w:p>
        </w:tc>
      </w:tr>
      <w:tr w14:paraId="3AF34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90" w:type="dxa"/>
            <w:vAlign w:val="center"/>
          </w:tcPr>
          <w:p w14:paraId="1F44B7AF">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6</w:t>
            </w:r>
          </w:p>
        </w:tc>
        <w:tc>
          <w:tcPr>
            <w:tcW w:w="800" w:type="dxa"/>
            <w:vAlign w:val="center"/>
          </w:tcPr>
          <w:p w14:paraId="2A47874C">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6</w:t>
            </w:r>
          </w:p>
        </w:tc>
        <w:tc>
          <w:tcPr>
            <w:tcW w:w="1653" w:type="dxa"/>
            <w:vAlign w:val="center"/>
          </w:tcPr>
          <w:p w14:paraId="151E3678">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Chapters 10–15</w:t>
            </w:r>
          </w:p>
        </w:tc>
        <w:tc>
          <w:tcPr>
            <w:tcW w:w="4733" w:type="dxa"/>
            <w:vAlign w:val="center"/>
          </w:tcPr>
          <w:p w14:paraId="431C547D">
            <w:pPr>
              <w:snapToGrid w:val="0"/>
              <w:spacing w:before="0" w:beforeAutospacing="0" w:after="0" w:afterAutospacing="0" w:line="240" w:lineRule="auto"/>
              <w:ind w:left="0" w:leftChars="0" w:right="0" w:rightChars="0" w:firstLine="0" w:firstLineChars="0"/>
              <w:jc w:val="left"/>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Category II: Plant products; Category III: Animals, plants, and their derived products; refined edible oils; animal and plant waxes;</w:t>
            </w:r>
          </w:p>
        </w:tc>
        <w:tc>
          <w:tcPr>
            <w:tcW w:w="805" w:type="dxa"/>
            <w:vAlign w:val="center"/>
          </w:tcPr>
          <w:p w14:paraId="30E21069">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color w:val="0D0D0D"/>
                <w:spacing w:val="0"/>
                <w:w w:val="100"/>
                <w:kern w:val="2"/>
                <w:sz w:val="18"/>
                <w:szCs w:val="18"/>
                <w:lang w:val="en-US" w:eastAsia="zh-CN" w:bidi="ar-SA"/>
              </w:rPr>
              <w:t>4</w:t>
            </w:r>
          </w:p>
        </w:tc>
        <w:tc>
          <w:tcPr>
            <w:tcW w:w="1205" w:type="dxa"/>
            <w:vAlign w:val="center"/>
          </w:tcPr>
          <w:p w14:paraId="6B9C4D2E">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Combining practice with instruction</w:t>
            </w:r>
          </w:p>
        </w:tc>
        <w:tc>
          <w:tcPr>
            <w:tcW w:w="2611" w:type="dxa"/>
            <w:vAlign w:val="center"/>
          </w:tcPr>
          <w:p w14:paraId="7C65DE91">
            <w:pPr>
              <w:snapToGrid w:val="0"/>
              <w:spacing w:before="0" w:beforeAutospacing="0" w:after="0" w:afterAutospacing="0" w:line="240" w:lineRule="auto"/>
              <w:ind w:left="0" w:leftChars="0" w:right="0" w:rightChars="0" w:firstLine="0" w:firstLineChars="0"/>
              <w:jc w:val="left"/>
              <w:textAlignment w:val="baseline"/>
              <w:rPr>
                <w:sz w:val="18"/>
                <w:szCs w:val="18"/>
              </w:rPr>
            </w:pPr>
            <w:r>
              <w:rPr>
                <w:rStyle w:val="10"/>
                <w:rFonts w:ascii="Times New Roman" w:hAnsi="Segoe UI" w:eastAsia="微软雅黑"/>
                <w:b w:val="0"/>
                <w:i w:val="0"/>
                <w:caps w:val="0"/>
                <w:color w:val="000000"/>
                <w:spacing w:val="0"/>
                <w:w w:val="100"/>
                <w:kern w:val="2"/>
                <w:sz w:val="18"/>
                <w:szCs w:val="18"/>
                <w:lang w:val="en-US" w:eastAsia="zh-CN" w:bidi="ar-SA"/>
              </w:rPr>
              <w:t>Post-class Exercise 3</w:t>
            </w:r>
          </w:p>
        </w:tc>
        <w:tc>
          <w:tcPr>
            <w:tcW w:w="636" w:type="dxa"/>
            <w:vAlign w:val="center"/>
          </w:tcPr>
          <w:p w14:paraId="38E4C200">
            <w:pPr>
              <w:snapToGrid w:val="0"/>
              <w:spacing w:before="0" w:beforeAutospacing="0" w:after="0" w:afterAutospacing="0" w:line="240" w:lineRule="auto"/>
              <w:ind w:left="0" w:leftChars="0" w:right="0" w:rightChars="0" w:firstLine="0" w:firstLineChars="0"/>
              <w:jc w:val="center"/>
              <w:textAlignment w:val="baseline"/>
              <w:rPr>
                <w:sz w:val="18"/>
                <w:szCs w:val="18"/>
              </w:rPr>
            </w:pPr>
          </w:p>
        </w:tc>
      </w:tr>
      <w:tr w14:paraId="7E0FE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90" w:type="dxa"/>
            <w:vAlign w:val="center"/>
          </w:tcPr>
          <w:p w14:paraId="21DBE830">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7</w:t>
            </w:r>
          </w:p>
        </w:tc>
        <w:tc>
          <w:tcPr>
            <w:tcW w:w="800" w:type="dxa"/>
            <w:vAlign w:val="center"/>
          </w:tcPr>
          <w:p w14:paraId="0C673D7A">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7</w:t>
            </w:r>
          </w:p>
        </w:tc>
        <w:tc>
          <w:tcPr>
            <w:tcW w:w="1653" w:type="dxa"/>
            <w:vAlign w:val="center"/>
          </w:tcPr>
          <w:p w14:paraId="6FAE2219">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Chapters 16–24 and 25–30</w:t>
            </w:r>
          </w:p>
        </w:tc>
        <w:tc>
          <w:tcPr>
            <w:tcW w:w="4733" w:type="dxa"/>
            <w:vAlign w:val="center"/>
          </w:tcPr>
          <w:p w14:paraId="065EFC71">
            <w:pPr>
              <w:snapToGrid w:val="0"/>
              <w:spacing w:before="0" w:beforeAutospacing="0" w:after="0" w:afterAutospacing="0" w:line="240" w:lineRule="auto"/>
              <w:ind w:left="0" w:leftChars="0" w:right="0" w:rightChars="0" w:firstLine="0" w:firstLineChars="0"/>
              <w:jc w:val="left"/>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Category IV: Food, beverages, etc.; Category V: Mineral products</w:t>
            </w:r>
          </w:p>
        </w:tc>
        <w:tc>
          <w:tcPr>
            <w:tcW w:w="805" w:type="dxa"/>
            <w:vAlign w:val="center"/>
          </w:tcPr>
          <w:p w14:paraId="05072923">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color w:val="0D0D0D"/>
                <w:spacing w:val="0"/>
                <w:w w:val="100"/>
                <w:kern w:val="2"/>
                <w:sz w:val="18"/>
                <w:szCs w:val="18"/>
                <w:lang w:val="en-US" w:eastAsia="zh-CN" w:bidi="ar-SA"/>
              </w:rPr>
              <w:t>4</w:t>
            </w:r>
          </w:p>
        </w:tc>
        <w:tc>
          <w:tcPr>
            <w:tcW w:w="1205" w:type="dxa"/>
            <w:vAlign w:val="center"/>
          </w:tcPr>
          <w:p w14:paraId="7EC1CC06">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Combining practice with instruction</w:t>
            </w:r>
          </w:p>
        </w:tc>
        <w:tc>
          <w:tcPr>
            <w:tcW w:w="2611" w:type="dxa"/>
            <w:vAlign w:val="center"/>
          </w:tcPr>
          <w:p w14:paraId="3566382D">
            <w:pPr>
              <w:snapToGrid w:val="0"/>
              <w:spacing w:before="0" w:beforeAutospacing="0" w:after="0" w:afterAutospacing="0" w:line="240" w:lineRule="auto"/>
              <w:ind w:left="0" w:leftChars="0" w:right="0" w:rightChars="0" w:firstLine="0" w:firstLineChars="0"/>
              <w:jc w:val="left"/>
              <w:textAlignment w:val="baseline"/>
              <w:rPr>
                <w:sz w:val="18"/>
                <w:szCs w:val="18"/>
              </w:rPr>
            </w:pPr>
            <w:r>
              <w:rPr>
                <w:rStyle w:val="10"/>
                <w:rFonts w:ascii="Times New Roman" w:hAnsi="Segoe UI" w:eastAsia="微软雅黑"/>
                <w:b w:val="0"/>
                <w:i w:val="0"/>
                <w:caps w:val="0"/>
                <w:color w:val="000000"/>
                <w:spacing w:val="0"/>
                <w:w w:val="100"/>
                <w:kern w:val="2"/>
                <w:sz w:val="18"/>
                <w:szCs w:val="18"/>
                <w:lang w:val="en-US" w:eastAsia="zh-CN" w:bidi="ar-SA"/>
              </w:rPr>
              <w:t>Post-class Exercise 4</w:t>
            </w:r>
          </w:p>
        </w:tc>
        <w:tc>
          <w:tcPr>
            <w:tcW w:w="636" w:type="dxa"/>
            <w:vAlign w:val="center"/>
          </w:tcPr>
          <w:p w14:paraId="4B790DB6">
            <w:pPr>
              <w:snapToGrid w:val="0"/>
              <w:spacing w:before="0" w:beforeAutospacing="0" w:after="0" w:afterAutospacing="0" w:line="240" w:lineRule="auto"/>
              <w:ind w:left="0" w:leftChars="0" w:right="0" w:rightChars="0" w:firstLine="0" w:firstLineChars="0"/>
              <w:jc w:val="center"/>
              <w:textAlignment w:val="baseline"/>
              <w:rPr>
                <w:sz w:val="18"/>
                <w:szCs w:val="18"/>
              </w:rPr>
            </w:pPr>
          </w:p>
        </w:tc>
      </w:tr>
      <w:tr w14:paraId="451FD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90" w:type="dxa"/>
            <w:vAlign w:val="center"/>
          </w:tcPr>
          <w:p w14:paraId="4375A47C">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8</w:t>
            </w:r>
          </w:p>
        </w:tc>
        <w:tc>
          <w:tcPr>
            <w:tcW w:w="800" w:type="dxa"/>
            <w:vAlign w:val="center"/>
          </w:tcPr>
          <w:p w14:paraId="1333F268">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8</w:t>
            </w:r>
          </w:p>
        </w:tc>
        <w:tc>
          <w:tcPr>
            <w:tcW w:w="1653" w:type="dxa"/>
            <w:vAlign w:val="center"/>
          </w:tcPr>
          <w:p w14:paraId="4AE72C97">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Chapters 31–38</w:t>
            </w:r>
          </w:p>
        </w:tc>
        <w:tc>
          <w:tcPr>
            <w:tcW w:w="4733" w:type="dxa"/>
            <w:tcBorders>
              <w:bottom w:val="single" w:color="auto" w:sz="4" w:space="0"/>
            </w:tcBorders>
            <w:vAlign w:val="center"/>
          </w:tcPr>
          <w:p w14:paraId="21A66829">
            <w:pPr>
              <w:snapToGrid w:val="0"/>
              <w:spacing w:before="0" w:beforeAutospacing="0" w:after="0" w:afterAutospacing="0" w:line="240" w:lineRule="auto"/>
              <w:ind w:left="0" w:leftChars="0" w:right="0" w:rightChars="0" w:firstLine="0" w:firstLineChars="0"/>
              <w:jc w:val="left"/>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Class VI: Chemical Products</w:t>
            </w:r>
          </w:p>
        </w:tc>
        <w:tc>
          <w:tcPr>
            <w:tcW w:w="805" w:type="dxa"/>
            <w:tcBorders>
              <w:bottom w:val="single" w:color="auto" w:sz="4" w:space="0"/>
            </w:tcBorders>
            <w:vAlign w:val="center"/>
          </w:tcPr>
          <w:p w14:paraId="07F6B56E">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color w:val="0D0D0D"/>
                <w:spacing w:val="0"/>
                <w:w w:val="100"/>
                <w:kern w:val="2"/>
                <w:sz w:val="18"/>
                <w:szCs w:val="18"/>
                <w:lang w:val="en-US" w:eastAsia="zh-CN" w:bidi="ar-SA"/>
              </w:rPr>
              <w:t>4</w:t>
            </w:r>
          </w:p>
        </w:tc>
        <w:tc>
          <w:tcPr>
            <w:tcW w:w="1205" w:type="dxa"/>
            <w:vAlign w:val="center"/>
          </w:tcPr>
          <w:p w14:paraId="1E9AE9D8">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Combining practice with instruction</w:t>
            </w:r>
          </w:p>
        </w:tc>
        <w:tc>
          <w:tcPr>
            <w:tcW w:w="2611" w:type="dxa"/>
            <w:vAlign w:val="center"/>
          </w:tcPr>
          <w:p w14:paraId="3809D5BE">
            <w:pPr>
              <w:snapToGrid w:val="0"/>
              <w:spacing w:before="0" w:beforeAutospacing="0" w:after="0" w:afterAutospacing="0" w:line="240" w:lineRule="auto"/>
              <w:ind w:left="0" w:leftChars="0" w:right="0" w:rightChars="0" w:firstLine="0" w:firstLineChars="0"/>
              <w:jc w:val="left"/>
              <w:textAlignment w:val="baseline"/>
              <w:rPr>
                <w:sz w:val="18"/>
                <w:szCs w:val="18"/>
              </w:rPr>
            </w:pPr>
            <w:r>
              <w:rPr>
                <w:rStyle w:val="10"/>
                <w:rFonts w:ascii="Times New Roman" w:hAnsi="Segoe UI" w:eastAsia="微软雅黑"/>
                <w:b w:val="0"/>
                <w:i w:val="0"/>
                <w:caps w:val="0"/>
                <w:color w:val="000000"/>
                <w:spacing w:val="0"/>
                <w:w w:val="100"/>
                <w:kern w:val="2"/>
                <w:sz w:val="18"/>
                <w:szCs w:val="18"/>
                <w:lang w:val="en-US" w:eastAsia="zh-CN" w:bidi="ar-SA"/>
              </w:rPr>
              <w:t>Post-class Exercise 5</w:t>
            </w:r>
          </w:p>
        </w:tc>
        <w:tc>
          <w:tcPr>
            <w:tcW w:w="636" w:type="dxa"/>
            <w:vAlign w:val="center"/>
          </w:tcPr>
          <w:p w14:paraId="6C599E6E">
            <w:pPr>
              <w:snapToGrid w:val="0"/>
              <w:spacing w:before="0" w:beforeAutospacing="0" w:after="0" w:afterAutospacing="0" w:line="240" w:lineRule="auto"/>
              <w:ind w:left="0" w:leftChars="0" w:right="0" w:rightChars="0" w:firstLine="0" w:firstLineChars="0"/>
              <w:jc w:val="center"/>
              <w:textAlignment w:val="baseline"/>
              <w:rPr>
                <w:sz w:val="18"/>
                <w:szCs w:val="18"/>
              </w:rPr>
            </w:pPr>
          </w:p>
        </w:tc>
      </w:tr>
      <w:tr w14:paraId="2C932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690" w:type="dxa"/>
            <w:vAlign w:val="center"/>
          </w:tcPr>
          <w:p w14:paraId="7245A1A9">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9</w:t>
            </w:r>
          </w:p>
        </w:tc>
        <w:tc>
          <w:tcPr>
            <w:tcW w:w="800" w:type="dxa"/>
            <w:vAlign w:val="center"/>
          </w:tcPr>
          <w:p w14:paraId="7457CCEC">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9</w:t>
            </w:r>
          </w:p>
        </w:tc>
        <w:tc>
          <w:tcPr>
            <w:tcW w:w="1653" w:type="dxa"/>
            <w:vAlign w:val="center"/>
          </w:tcPr>
          <w:p w14:paraId="675D75BD">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Chapters 39–40;</w:t>
            </w:r>
          </w:p>
        </w:tc>
        <w:tc>
          <w:tcPr>
            <w:tcW w:w="4733" w:type="dxa"/>
            <w:vAlign w:val="center"/>
          </w:tcPr>
          <w:p w14:paraId="077AC52E">
            <w:pPr>
              <w:snapToGrid w:val="0"/>
              <w:spacing w:before="0" w:beforeAutospacing="0" w:after="0" w:afterAutospacing="0" w:line="240" w:lineRule="auto"/>
              <w:ind w:left="0" w:leftChars="0" w:right="0" w:rightChars="0" w:firstLine="0" w:firstLineChars="0"/>
              <w:jc w:val="left"/>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Category 7: Plastics and rubber;</w:t>
            </w:r>
          </w:p>
        </w:tc>
        <w:tc>
          <w:tcPr>
            <w:tcW w:w="805" w:type="dxa"/>
            <w:vAlign w:val="center"/>
          </w:tcPr>
          <w:p w14:paraId="0BEB304F">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color w:val="0D0D0D"/>
                <w:spacing w:val="0"/>
                <w:w w:val="100"/>
                <w:kern w:val="2"/>
                <w:sz w:val="18"/>
                <w:szCs w:val="18"/>
                <w:lang w:val="en-US" w:eastAsia="zh-CN" w:bidi="ar-SA"/>
              </w:rPr>
              <w:t>4</w:t>
            </w:r>
          </w:p>
        </w:tc>
        <w:tc>
          <w:tcPr>
            <w:tcW w:w="1205" w:type="dxa"/>
            <w:vAlign w:val="center"/>
          </w:tcPr>
          <w:p w14:paraId="58A8FBD2">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Combining practice with instruction</w:t>
            </w:r>
          </w:p>
        </w:tc>
        <w:tc>
          <w:tcPr>
            <w:tcW w:w="2611" w:type="dxa"/>
            <w:vAlign w:val="center"/>
          </w:tcPr>
          <w:p w14:paraId="65D19F2C">
            <w:pPr>
              <w:snapToGrid w:val="0"/>
              <w:spacing w:before="0" w:beforeAutospacing="0" w:after="0" w:afterAutospacing="0" w:line="240" w:lineRule="auto"/>
              <w:ind w:left="0" w:leftChars="0" w:right="0" w:rightChars="0" w:firstLine="0" w:firstLineChars="0"/>
              <w:jc w:val="left"/>
              <w:textAlignment w:val="baseline"/>
              <w:rPr>
                <w:sz w:val="18"/>
                <w:szCs w:val="18"/>
              </w:rPr>
            </w:pPr>
            <w:r>
              <w:rPr>
                <w:rStyle w:val="10"/>
                <w:rFonts w:ascii="Times New Roman" w:hAnsi="Segoe UI" w:eastAsia="微软雅黑"/>
                <w:b w:val="0"/>
                <w:i w:val="0"/>
                <w:caps w:val="0"/>
                <w:color w:val="000000"/>
                <w:spacing w:val="0"/>
                <w:w w:val="100"/>
                <w:kern w:val="2"/>
                <w:sz w:val="18"/>
                <w:szCs w:val="18"/>
                <w:lang w:val="en-US" w:eastAsia="zh-CN" w:bidi="ar-SA"/>
              </w:rPr>
              <w:t>Post-class Exercise 6</w:t>
            </w:r>
          </w:p>
        </w:tc>
        <w:tc>
          <w:tcPr>
            <w:tcW w:w="636" w:type="dxa"/>
            <w:vAlign w:val="center"/>
          </w:tcPr>
          <w:p w14:paraId="35D44CCD">
            <w:pPr>
              <w:snapToGrid w:val="0"/>
              <w:spacing w:before="0" w:beforeAutospacing="0" w:after="0" w:afterAutospacing="0" w:line="240" w:lineRule="auto"/>
              <w:ind w:left="0" w:leftChars="0" w:right="0" w:rightChars="0" w:firstLine="0" w:firstLineChars="0"/>
              <w:jc w:val="center"/>
              <w:textAlignment w:val="baseline"/>
              <w:rPr>
                <w:sz w:val="18"/>
                <w:szCs w:val="18"/>
              </w:rPr>
            </w:pPr>
          </w:p>
        </w:tc>
      </w:tr>
      <w:tr w14:paraId="11488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690" w:type="dxa"/>
            <w:vAlign w:val="center"/>
          </w:tcPr>
          <w:p w14:paraId="24E32A8E">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10</w:t>
            </w:r>
          </w:p>
        </w:tc>
        <w:tc>
          <w:tcPr>
            <w:tcW w:w="800" w:type="dxa"/>
            <w:vAlign w:val="center"/>
          </w:tcPr>
          <w:p w14:paraId="39E45C9B">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10</w:t>
            </w:r>
          </w:p>
        </w:tc>
        <w:tc>
          <w:tcPr>
            <w:tcW w:w="1653" w:type="dxa"/>
            <w:vAlign w:val="center"/>
          </w:tcPr>
          <w:p w14:paraId="08C18A0B">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Chapters 41–49</w:t>
            </w:r>
          </w:p>
        </w:tc>
        <w:tc>
          <w:tcPr>
            <w:tcW w:w="4733" w:type="dxa"/>
            <w:vAlign w:val="center"/>
          </w:tcPr>
          <w:p w14:paraId="03D97269">
            <w:pPr>
              <w:snapToGrid w:val="0"/>
              <w:spacing w:before="0" w:beforeAutospacing="0" w:after="0" w:afterAutospacing="0" w:line="240" w:lineRule="auto"/>
              <w:ind w:left="0" w:leftChars="0" w:right="0" w:rightChars="0" w:firstLine="0" w:firstLineChars="0"/>
              <w:jc w:val="left"/>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Category 8: Leather; Category 9: Wood; Category 10: Paper</w:t>
            </w:r>
          </w:p>
        </w:tc>
        <w:tc>
          <w:tcPr>
            <w:tcW w:w="805" w:type="dxa"/>
            <w:vAlign w:val="center"/>
          </w:tcPr>
          <w:p w14:paraId="4806D247">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color w:val="0D0D0D"/>
                <w:spacing w:val="0"/>
                <w:w w:val="100"/>
                <w:kern w:val="2"/>
                <w:sz w:val="18"/>
                <w:szCs w:val="18"/>
                <w:lang w:val="en-US" w:eastAsia="zh-CN" w:bidi="ar-SA"/>
              </w:rPr>
              <w:t>4</w:t>
            </w:r>
          </w:p>
        </w:tc>
        <w:tc>
          <w:tcPr>
            <w:tcW w:w="1205" w:type="dxa"/>
            <w:vAlign w:val="center"/>
          </w:tcPr>
          <w:p w14:paraId="48BDC71B">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Combining practice with instruction</w:t>
            </w:r>
          </w:p>
        </w:tc>
        <w:tc>
          <w:tcPr>
            <w:tcW w:w="2611" w:type="dxa"/>
            <w:shd w:val="clear" w:color="auto" w:fill="auto"/>
            <w:vAlign w:val="center"/>
          </w:tcPr>
          <w:p w14:paraId="338C446E">
            <w:pPr>
              <w:snapToGrid w:val="0"/>
              <w:spacing w:before="0" w:beforeAutospacing="0" w:after="0" w:afterAutospacing="0" w:line="240" w:lineRule="auto"/>
              <w:ind w:left="0" w:leftChars="0" w:right="0" w:rightChars="0" w:firstLine="0" w:firstLineChars="0"/>
              <w:jc w:val="left"/>
              <w:textAlignment w:val="baseline"/>
              <w:rPr>
                <w:rFonts w:ascii="Times New Roman" w:hAnsi="Times New Roman" w:eastAsia="微软雅黑" w:cs="Times New Roman"/>
                <w:b w:val="0"/>
                <w:i w:val="0"/>
                <w:caps w:val="0"/>
                <w:spacing w:val="0"/>
                <w:w w:val="100"/>
                <w:kern w:val="2"/>
                <w:sz w:val="18"/>
                <w:szCs w:val="18"/>
                <w:lang w:val="en-US" w:eastAsia="zh-CN" w:bidi="ar-SA"/>
              </w:rPr>
            </w:pPr>
            <w:r>
              <w:rPr>
                <w:rStyle w:val="10"/>
                <w:rFonts w:ascii="Times New Roman" w:hAnsi="Segoe UI" w:eastAsia="微软雅黑"/>
                <w:b w:val="0"/>
                <w:i w:val="0"/>
                <w:caps w:val="0"/>
                <w:color w:val="000000"/>
                <w:spacing w:val="0"/>
                <w:w w:val="100"/>
                <w:kern w:val="2"/>
                <w:sz w:val="18"/>
                <w:szCs w:val="18"/>
                <w:lang w:val="en-US" w:eastAsia="zh-CN" w:bidi="ar-SA"/>
              </w:rPr>
              <w:t>Post-class Exercise 7</w:t>
            </w:r>
          </w:p>
        </w:tc>
        <w:tc>
          <w:tcPr>
            <w:tcW w:w="636" w:type="dxa"/>
            <w:shd w:val="clear" w:color="auto" w:fill="auto"/>
            <w:vAlign w:val="center"/>
          </w:tcPr>
          <w:p w14:paraId="2729FFD6">
            <w:pPr>
              <w:snapToGrid w:val="0"/>
              <w:spacing w:before="0" w:beforeAutospacing="0" w:after="0" w:afterAutospacing="0" w:line="240" w:lineRule="auto"/>
              <w:ind w:left="0" w:leftChars="0" w:right="0" w:rightChars="0" w:firstLine="0" w:firstLineChars="0"/>
              <w:jc w:val="center"/>
              <w:textAlignment w:val="baseline"/>
              <w:rPr>
                <w:rFonts w:ascii="Times New Roman" w:hAnsi="Times New Roman" w:eastAsia="微软雅黑" w:cs="Times New Roman"/>
                <w:b w:val="0"/>
                <w:i w:val="0"/>
                <w:caps w:val="0"/>
                <w:spacing w:val="0"/>
                <w:w w:val="100"/>
                <w:kern w:val="2"/>
                <w:sz w:val="21"/>
                <w:szCs w:val="24"/>
                <w:lang w:val="en-US" w:eastAsia="zh-CN" w:bidi="ar-SA"/>
              </w:rPr>
            </w:pPr>
          </w:p>
        </w:tc>
      </w:tr>
      <w:tr w14:paraId="64062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690" w:type="dxa"/>
            <w:vAlign w:val="center"/>
          </w:tcPr>
          <w:p w14:paraId="25709460">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11</w:t>
            </w:r>
          </w:p>
        </w:tc>
        <w:tc>
          <w:tcPr>
            <w:tcW w:w="800" w:type="dxa"/>
            <w:vAlign w:val="center"/>
          </w:tcPr>
          <w:p w14:paraId="6AF8E9A2">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11</w:t>
            </w:r>
          </w:p>
        </w:tc>
        <w:tc>
          <w:tcPr>
            <w:tcW w:w="1653" w:type="dxa"/>
            <w:vAlign w:val="center"/>
          </w:tcPr>
          <w:p w14:paraId="6A27E5FC">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Chapters 50–63</w:t>
            </w:r>
          </w:p>
        </w:tc>
        <w:tc>
          <w:tcPr>
            <w:tcW w:w="4733" w:type="dxa"/>
            <w:vAlign w:val="center"/>
          </w:tcPr>
          <w:p w14:paraId="17AED163">
            <w:pPr>
              <w:snapToGrid w:val="0"/>
              <w:spacing w:before="0" w:beforeAutospacing="0" w:after="0" w:afterAutospacing="0" w:line="240" w:lineRule="auto"/>
              <w:ind w:left="0" w:leftChars="0" w:right="0" w:rightChars="0" w:firstLine="0" w:firstLineChars="0"/>
              <w:jc w:val="left"/>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Class 11: Textile Classification</w:t>
            </w:r>
          </w:p>
        </w:tc>
        <w:tc>
          <w:tcPr>
            <w:tcW w:w="805" w:type="dxa"/>
            <w:vAlign w:val="center"/>
          </w:tcPr>
          <w:p w14:paraId="28A37877">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color w:val="0D0D0D"/>
                <w:spacing w:val="0"/>
                <w:w w:val="100"/>
                <w:kern w:val="2"/>
                <w:sz w:val="18"/>
                <w:szCs w:val="18"/>
                <w:lang w:val="en-US" w:eastAsia="zh-CN" w:bidi="ar-SA"/>
              </w:rPr>
              <w:t>4</w:t>
            </w:r>
          </w:p>
        </w:tc>
        <w:tc>
          <w:tcPr>
            <w:tcW w:w="1205" w:type="dxa"/>
            <w:vAlign w:val="center"/>
          </w:tcPr>
          <w:p w14:paraId="22513B3C">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Combining practice with instruction</w:t>
            </w:r>
          </w:p>
        </w:tc>
        <w:tc>
          <w:tcPr>
            <w:tcW w:w="2611" w:type="dxa"/>
            <w:shd w:val="clear" w:color="auto" w:fill="auto"/>
            <w:vAlign w:val="center"/>
          </w:tcPr>
          <w:p w14:paraId="215A23A6">
            <w:pPr>
              <w:snapToGrid w:val="0"/>
              <w:spacing w:before="0" w:beforeAutospacing="0" w:after="0" w:afterAutospacing="0" w:line="240" w:lineRule="auto"/>
              <w:ind w:left="0" w:leftChars="0" w:right="0" w:rightChars="0" w:firstLine="0" w:firstLineChars="0"/>
              <w:jc w:val="left"/>
              <w:textAlignment w:val="baseline"/>
              <w:rPr>
                <w:rFonts w:ascii="Times New Roman" w:hAnsi="Times New Roman" w:eastAsia="微软雅黑" w:cs="Times New Roman"/>
                <w:b w:val="0"/>
                <w:i w:val="0"/>
                <w:caps w:val="0"/>
                <w:spacing w:val="0"/>
                <w:w w:val="100"/>
                <w:kern w:val="2"/>
                <w:sz w:val="18"/>
                <w:szCs w:val="18"/>
                <w:lang w:val="en-US" w:eastAsia="zh-CN" w:bidi="ar-SA"/>
              </w:rPr>
            </w:pPr>
            <w:r>
              <w:rPr>
                <w:rStyle w:val="10"/>
                <w:rFonts w:ascii="Times New Roman" w:hAnsi="Segoe UI" w:eastAsia="微软雅黑"/>
                <w:b w:val="0"/>
                <w:i w:val="0"/>
                <w:caps w:val="0"/>
                <w:color w:val="000000"/>
                <w:spacing w:val="0"/>
                <w:w w:val="100"/>
                <w:kern w:val="2"/>
                <w:sz w:val="18"/>
                <w:szCs w:val="18"/>
                <w:lang w:val="en-US" w:eastAsia="zh-CN" w:bidi="ar-SA"/>
              </w:rPr>
              <w:t>Post-class Exercise 8</w:t>
            </w:r>
          </w:p>
        </w:tc>
        <w:tc>
          <w:tcPr>
            <w:tcW w:w="636" w:type="dxa"/>
            <w:shd w:val="clear" w:color="auto" w:fill="auto"/>
            <w:vAlign w:val="center"/>
          </w:tcPr>
          <w:p w14:paraId="1A164949">
            <w:pPr>
              <w:snapToGrid w:val="0"/>
              <w:spacing w:before="0" w:beforeAutospacing="0" w:after="0" w:afterAutospacing="0" w:line="240" w:lineRule="auto"/>
              <w:ind w:left="0" w:leftChars="0" w:right="0" w:rightChars="0" w:firstLine="0" w:firstLineChars="0"/>
              <w:jc w:val="center"/>
              <w:textAlignment w:val="baseline"/>
              <w:rPr>
                <w:rFonts w:ascii="Times New Roman" w:hAnsi="Times New Roman" w:eastAsia="微软雅黑" w:cs="Times New Roman"/>
                <w:b w:val="0"/>
                <w:i w:val="0"/>
                <w:caps w:val="0"/>
                <w:spacing w:val="0"/>
                <w:w w:val="100"/>
                <w:kern w:val="2"/>
                <w:sz w:val="21"/>
                <w:szCs w:val="24"/>
                <w:lang w:val="en-US" w:eastAsia="zh-CN" w:bidi="ar-SA"/>
              </w:rPr>
            </w:pPr>
          </w:p>
        </w:tc>
      </w:tr>
      <w:tr w14:paraId="0783B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690" w:type="dxa"/>
            <w:vAlign w:val="center"/>
          </w:tcPr>
          <w:p w14:paraId="5C42A617">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12</w:t>
            </w:r>
          </w:p>
        </w:tc>
        <w:tc>
          <w:tcPr>
            <w:tcW w:w="800" w:type="dxa"/>
            <w:vAlign w:val="center"/>
          </w:tcPr>
          <w:p w14:paraId="03EAAD74">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12</w:t>
            </w:r>
          </w:p>
        </w:tc>
        <w:tc>
          <w:tcPr>
            <w:tcW w:w="1653" w:type="dxa"/>
            <w:vAlign w:val="center"/>
          </w:tcPr>
          <w:p w14:paraId="5D0D0099">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Chapters 64–71</w:t>
            </w:r>
          </w:p>
        </w:tc>
        <w:tc>
          <w:tcPr>
            <w:tcW w:w="4733" w:type="dxa"/>
            <w:vAlign w:val="center"/>
          </w:tcPr>
          <w:p w14:paraId="56DCD608">
            <w:pPr>
              <w:snapToGrid w:val="0"/>
              <w:spacing w:before="0" w:beforeAutospacing="0" w:after="0" w:afterAutospacing="0" w:line="240" w:lineRule="auto"/>
              <w:ind w:left="0" w:leftChars="0" w:right="0" w:rightChars="0" w:firstLine="0" w:firstLineChars="0"/>
              <w:jc w:val="left"/>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Class 12: Shoes, hats, umbrellas, boots; Class 13: Stone materials and gypsum; Class 14: Precious stones and precious metals.</w:t>
            </w:r>
          </w:p>
        </w:tc>
        <w:tc>
          <w:tcPr>
            <w:tcW w:w="805" w:type="dxa"/>
            <w:vAlign w:val="center"/>
          </w:tcPr>
          <w:p w14:paraId="710BD2AF">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color w:val="0D0D0D"/>
                <w:spacing w:val="0"/>
                <w:w w:val="100"/>
                <w:kern w:val="2"/>
                <w:sz w:val="18"/>
                <w:szCs w:val="18"/>
                <w:lang w:val="en-US" w:eastAsia="zh-CN" w:bidi="ar-SA"/>
              </w:rPr>
              <w:t>4</w:t>
            </w:r>
          </w:p>
        </w:tc>
        <w:tc>
          <w:tcPr>
            <w:tcW w:w="1205" w:type="dxa"/>
            <w:vAlign w:val="center"/>
          </w:tcPr>
          <w:p w14:paraId="6D9E8559">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Combining practice with instruction</w:t>
            </w:r>
          </w:p>
        </w:tc>
        <w:tc>
          <w:tcPr>
            <w:tcW w:w="2611" w:type="dxa"/>
            <w:shd w:val="clear" w:color="auto" w:fill="auto"/>
            <w:vAlign w:val="center"/>
          </w:tcPr>
          <w:p w14:paraId="756E983F">
            <w:pPr>
              <w:snapToGrid w:val="0"/>
              <w:spacing w:before="0" w:beforeAutospacing="0" w:after="0" w:afterAutospacing="0" w:line="240" w:lineRule="auto"/>
              <w:ind w:left="0" w:leftChars="0" w:right="0" w:rightChars="0" w:firstLine="0" w:firstLineChars="0"/>
              <w:jc w:val="left"/>
              <w:textAlignment w:val="baseline"/>
              <w:rPr>
                <w:rFonts w:ascii="Times New Roman" w:hAnsi="Times New Roman" w:eastAsia="微软雅黑" w:cs="Times New Roman"/>
                <w:b w:val="0"/>
                <w:i w:val="0"/>
                <w:caps w:val="0"/>
                <w:spacing w:val="0"/>
                <w:w w:val="100"/>
                <w:kern w:val="2"/>
                <w:sz w:val="18"/>
                <w:szCs w:val="18"/>
                <w:lang w:val="en-US" w:eastAsia="zh-CN" w:bidi="ar-SA"/>
              </w:rPr>
            </w:pPr>
            <w:r>
              <w:rPr>
                <w:rStyle w:val="10"/>
                <w:rFonts w:ascii="Times New Roman" w:hAnsi="Segoe UI" w:eastAsia="微软雅黑"/>
                <w:b w:val="0"/>
                <w:i w:val="0"/>
                <w:caps w:val="0"/>
                <w:color w:val="000000"/>
                <w:spacing w:val="0"/>
                <w:w w:val="100"/>
                <w:kern w:val="2"/>
                <w:sz w:val="18"/>
                <w:szCs w:val="18"/>
                <w:lang w:val="en-US" w:eastAsia="zh-CN" w:bidi="ar-SA"/>
              </w:rPr>
              <w:t>Post-class Exercise 9</w:t>
            </w:r>
          </w:p>
        </w:tc>
        <w:tc>
          <w:tcPr>
            <w:tcW w:w="636" w:type="dxa"/>
            <w:shd w:val="clear" w:color="auto" w:fill="auto"/>
            <w:vAlign w:val="center"/>
          </w:tcPr>
          <w:p w14:paraId="2ED39EE6">
            <w:pPr>
              <w:snapToGrid w:val="0"/>
              <w:spacing w:before="0" w:beforeAutospacing="0" w:after="0" w:afterAutospacing="0" w:line="240" w:lineRule="auto"/>
              <w:ind w:left="0" w:leftChars="0" w:right="0" w:rightChars="0" w:firstLine="0" w:firstLineChars="0"/>
              <w:jc w:val="center"/>
              <w:textAlignment w:val="baseline"/>
              <w:rPr>
                <w:rFonts w:ascii="Times New Roman" w:hAnsi="Times New Roman" w:eastAsia="微软雅黑" w:cs="Times New Roman"/>
                <w:b w:val="0"/>
                <w:i w:val="0"/>
                <w:caps w:val="0"/>
                <w:spacing w:val="0"/>
                <w:w w:val="100"/>
                <w:kern w:val="2"/>
                <w:sz w:val="21"/>
                <w:szCs w:val="24"/>
                <w:lang w:val="en-US" w:eastAsia="zh-CN" w:bidi="ar-SA"/>
              </w:rPr>
            </w:pPr>
          </w:p>
        </w:tc>
      </w:tr>
      <w:tr w14:paraId="28C99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90" w:type="dxa"/>
            <w:vAlign w:val="center"/>
          </w:tcPr>
          <w:p w14:paraId="639DE9AC">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13</w:t>
            </w:r>
          </w:p>
        </w:tc>
        <w:tc>
          <w:tcPr>
            <w:tcW w:w="800" w:type="dxa"/>
            <w:vAlign w:val="center"/>
          </w:tcPr>
          <w:p w14:paraId="3C1A4F5D">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13</w:t>
            </w:r>
          </w:p>
        </w:tc>
        <w:tc>
          <w:tcPr>
            <w:tcW w:w="1653" w:type="dxa"/>
            <w:vAlign w:val="center"/>
          </w:tcPr>
          <w:p w14:paraId="5863817E">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Chapters 72–83</w:t>
            </w:r>
          </w:p>
        </w:tc>
        <w:tc>
          <w:tcPr>
            <w:tcW w:w="4733" w:type="dxa"/>
            <w:vAlign w:val="center"/>
          </w:tcPr>
          <w:p w14:paraId="7C6BAF63">
            <w:pPr>
              <w:snapToGrid w:val="0"/>
              <w:spacing w:before="0" w:beforeAutospacing="0" w:after="0" w:afterAutospacing="0" w:line="240" w:lineRule="auto"/>
              <w:ind w:left="0" w:leftChars="0" w:right="0" w:rightChars="0" w:firstLine="0" w:firstLineChars="0"/>
              <w:jc w:val="left"/>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Class 15: Base Metals</w:t>
            </w:r>
          </w:p>
        </w:tc>
        <w:tc>
          <w:tcPr>
            <w:tcW w:w="805" w:type="dxa"/>
            <w:vAlign w:val="center"/>
          </w:tcPr>
          <w:p w14:paraId="4A346964">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color w:val="0D0D0D"/>
                <w:spacing w:val="0"/>
                <w:w w:val="100"/>
                <w:kern w:val="2"/>
                <w:sz w:val="18"/>
                <w:szCs w:val="18"/>
                <w:lang w:val="en-US" w:eastAsia="zh-CN" w:bidi="ar-SA"/>
              </w:rPr>
              <w:t>4</w:t>
            </w:r>
          </w:p>
        </w:tc>
        <w:tc>
          <w:tcPr>
            <w:tcW w:w="1205" w:type="dxa"/>
            <w:vAlign w:val="center"/>
          </w:tcPr>
          <w:p w14:paraId="57BC080E">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Combining practice with instruction</w:t>
            </w:r>
          </w:p>
        </w:tc>
        <w:tc>
          <w:tcPr>
            <w:tcW w:w="2611" w:type="dxa"/>
            <w:shd w:val="clear" w:color="auto" w:fill="auto"/>
            <w:vAlign w:val="center"/>
          </w:tcPr>
          <w:p w14:paraId="638DDC0C">
            <w:pPr>
              <w:snapToGrid w:val="0"/>
              <w:spacing w:before="0" w:beforeAutospacing="0" w:after="0" w:afterAutospacing="0" w:line="240" w:lineRule="auto"/>
              <w:ind w:left="0" w:leftChars="0" w:right="0" w:rightChars="0" w:firstLine="0" w:firstLineChars="0"/>
              <w:jc w:val="left"/>
              <w:textAlignment w:val="baseline"/>
              <w:rPr>
                <w:rFonts w:ascii="Times New Roman" w:hAnsi="Times New Roman" w:eastAsia="微软雅黑" w:cs="Times New Roman"/>
                <w:b w:val="0"/>
                <w:i w:val="0"/>
                <w:caps w:val="0"/>
                <w:spacing w:val="0"/>
                <w:w w:val="100"/>
                <w:kern w:val="2"/>
                <w:sz w:val="18"/>
                <w:szCs w:val="18"/>
                <w:lang w:val="en-US" w:eastAsia="zh-CN" w:bidi="ar-SA"/>
              </w:rPr>
            </w:pPr>
            <w:r>
              <w:rPr>
                <w:rStyle w:val="10"/>
                <w:rFonts w:ascii="Times New Roman" w:hAnsi="Segoe UI" w:eastAsia="微软雅黑"/>
                <w:b w:val="0"/>
                <w:i w:val="0"/>
                <w:caps w:val="0"/>
                <w:color w:val="000000"/>
                <w:spacing w:val="0"/>
                <w:w w:val="100"/>
                <w:kern w:val="2"/>
                <w:sz w:val="18"/>
                <w:szCs w:val="18"/>
                <w:lang w:val="en-US" w:eastAsia="zh-CN" w:bidi="ar-SA"/>
              </w:rPr>
              <w:t>Post-class Exercise 10</w:t>
            </w:r>
          </w:p>
        </w:tc>
        <w:tc>
          <w:tcPr>
            <w:tcW w:w="636" w:type="dxa"/>
            <w:shd w:val="clear" w:color="auto" w:fill="auto"/>
            <w:vAlign w:val="center"/>
          </w:tcPr>
          <w:p w14:paraId="543FA5D4">
            <w:pPr>
              <w:snapToGrid w:val="0"/>
              <w:spacing w:before="0" w:beforeAutospacing="0" w:after="0" w:afterAutospacing="0" w:line="240" w:lineRule="auto"/>
              <w:ind w:left="0" w:leftChars="0" w:right="0" w:rightChars="0" w:firstLine="0" w:firstLineChars="0"/>
              <w:jc w:val="center"/>
              <w:textAlignment w:val="baseline"/>
              <w:rPr>
                <w:rFonts w:ascii="Times New Roman" w:hAnsi="Times New Roman" w:eastAsia="微软雅黑" w:cs="Times New Roman"/>
                <w:b w:val="0"/>
                <w:i w:val="0"/>
                <w:caps w:val="0"/>
                <w:spacing w:val="0"/>
                <w:w w:val="100"/>
                <w:kern w:val="2"/>
                <w:sz w:val="21"/>
                <w:szCs w:val="24"/>
                <w:lang w:val="en-US" w:eastAsia="zh-CN" w:bidi="ar-SA"/>
              </w:rPr>
            </w:pPr>
          </w:p>
        </w:tc>
      </w:tr>
      <w:tr w14:paraId="27A3D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90" w:type="dxa"/>
            <w:vAlign w:val="center"/>
          </w:tcPr>
          <w:p w14:paraId="59CB5D45">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14</w:t>
            </w:r>
          </w:p>
        </w:tc>
        <w:tc>
          <w:tcPr>
            <w:tcW w:w="800" w:type="dxa"/>
            <w:vAlign w:val="center"/>
          </w:tcPr>
          <w:p w14:paraId="69C603B8">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14</w:t>
            </w:r>
          </w:p>
        </w:tc>
        <w:tc>
          <w:tcPr>
            <w:tcW w:w="1653" w:type="dxa"/>
            <w:vAlign w:val="center"/>
          </w:tcPr>
          <w:p w14:paraId="6C899A02">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Chapters 84–92</w:t>
            </w:r>
          </w:p>
        </w:tc>
        <w:tc>
          <w:tcPr>
            <w:tcW w:w="4733" w:type="dxa"/>
            <w:vAlign w:val="center"/>
          </w:tcPr>
          <w:p w14:paraId="75E63BB4">
            <w:pPr>
              <w:snapToGrid w:val="0"/>
              <w:spacing w:before="0" w:beforeAutospacing="0" w:after="0" w:afterAutospacing="0" w:line="240" w:lineRule="auto"/>
              <w:ind w:left="0" w:leftChars="0" w:right="0" w:rightChars="0" w:firstLine="0" w:firstLineChars="0"/>
              <w:jc w:val="left"/>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Class 16: Electromechanical Products   Class 17: Transportation Equipment   Class 18: Instruments and Watches</w:t>
            </w:r>
          </w:p>
        </w:tc>
        <w:tc>
          <w:tcPr>
            <w:tcW w:w="805" w:type="dxa"/>
            <w:vAlign w:val="center"/>
          </w:tcPr>
          <w:p w14:paraId="1C8D67B2">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color w:val="0D0D0D"/>
                <w:spacing w:val="0"/>
                <w:w w:val="100"/>
                <w:kern w:val="2"/>
                <w:sz w:val="18"/>
                <w:szCs w:val="18"/>
                <w:lang w:val="en-US" w:eastAsia="zh-CN" w:bidi="ar-SA"/>
              </w:rPr>
              <w:t>4</w:t>
            </w:r>
          </w:p>
        </w:tc>
        <w:tc>
          <w:tcPr>
            <w:tcW w:w="1205" w:type="dxa"/>
            <w:vAlign w:val="center"/>
          </w:tcPr>
          <w:p w14:paraId="77CFE284">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Combining practice with instruction</w:t>
            </w:r>
          </w:p>
        </w:tc>
        <w:tc>
          <w:tcPr>
            <w:tcW w:w="2611" w:type="dxa"/>
            <w:shd w:val="clear" w:color="auto" w:fill="auto"/>
            <w:vAlign w:val="center"/>
          </w:tcPr>
          <w:p w14:paraId="7D31CD66">
            <w:pPr>
              <w:snapToGrid w:val="0"/>
              <w:spacing w:before="0" w:beforeAutospacing="0" w:after="0" w:afterAutospacing="0" w:line="240" w:lineRule="auto"/>
              <w:ind w:left="0" w:leftChars="0" w:right="0" w:rightChars="0" w:firstLine="0" w:firstLineChars="0"/>
              <w:jc w:val="left"/>
              <w:textAlignment w:val="baseline"/>
              <w:rPr>
                <w:rFonts w:ascii="Times New Roman" w:hAnsi="Times New Roman" w:eastAsia="微软雅黑" w:cs="Times New Roman"/>
                <w:b w:val="0"/>
                <w:i w:val="0"/>
                <w:caps w:val="0"/>
                <w:spacing w:val="0"/>
                <w:w w:val="100"/>
                <w:kern w:val="2"/>
                <w:sz w:val="18"/>
                <w:szCs w:val="18"/>
                <w:lang w:val="en-US" w:eastAsia="zh-CN" w:bidi="ar-SA"/>
              </w:rPr>
            </w:pPr>
            <w:r>
              <w:rPr>
                <w:rStyle w:val="10"/>
                <w:rFonts w:ascii="Times New Roman" w:hAnsi="Segoe UI" w:eastAsia="微软雅黑"/>
                <w:b w:val="0"/>
                <w:i w:val="0"/>
                <w:caps w:val="0"/>
                <w:color w:val="000000"/>
                <w:spacing w:val="0"/>
                <w:w w:val="100"/>
                <w:kern w:val="2"/>
                <w:sz w:val="18"/>
                <w:szCs w:val="18"/>
                <w:lang w:val="en-US" w:eastAsia="zh-CN" w:bidi="ar-SA"/>
              </w:rPr>
              <w:t>Post-class Exercise 11</w:t>
            </w:r>
          </w:p>
        </w:tc>
        <w:tc>
          <w:tcPr>
            <w:tcW w:w="636" w:type="dxa"/>
            <w:shd w:val="clear" w:color="auto" w:fill="auto"/>
            <w:vAlign w:val="center"/>
          </w:tcPr>
          <w:p w14:paraId="7AA1AE2C">
            <w:pPr>
              <w:snapToGrid w:val="0"/>
              <w:spacing w:before="0" w:beforeAutospacing="0" w:after="0" w:afterAutospacing="0" w:line="240" w:lineRule="auto"/>
              <w:ind w:left="0" w:leftChars="0" w:right="0" w:rightChars="0" w:firstLine="0" w:firstLineChars="0"/>
              <w:jc w:val="center"/>
              <w:textAlignment w:val="baseline"/>
              <w:rPr>
                <w:rFonts w:ascii="Times New Roman" w:hAnsi="Times New Roman" w:eastAsia="微软雅黑" w:cs="Times New Roman"/>
                <w:b w:val="0"/>
                <w:i w:val="0"/>
                <w:caps w:val="0"/>
                <w:spacing w:val="0"/>
                <w:w w:val="100"/>
                <w:kern w:val="2"/>
                <w:sz w:val="21"/>
                <w:szCs w:val="24"/>
                <w:lang w:val="en-US" w:eastAsia="zh-CN" w:bidi="ar-SA"/>
              </w:rPr>
            </w:pPr>
          </w:p>
        </w:tc>
      </w:tr>
      <w:tr w14:paraId="6C082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90" w:type="dxa"/>
            <w:vAlign w:val="center"/>
          </w:tcPr>
          <w:p w14:paraId="52CAD1F1">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15</w:t>
            </w:r>
          </w:p>
        </w:tc>
        <w:tc>
          <w:tcPr>
            <w:tcW w:w="800" w:type="dxa"/>
            <w:vAlign w:val="center"/>
          </w:tcPr>
          <w:p w14:paraId="49E4EA4F">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15</w:t>
            </w:r>
          </w:p>
        </w:tc>
        <w:tc>
          <w:tcPr>
            <w:tcW w:w="1653" w:type="dxa"/>
            <w:vAlign w:val="center"/>
          </w:tcPr>
          <w:p w14:paraId="6DFDB7C8">
            <w:pPr>
              <w:snapToGrid w:val="0"/>
              <w:spacing w:before="0" w:beforeAutospacing="0" w:after="0" w:afterAutospacing="0" w:line="240" w:lineRule="auto"/>
              <w:ind w:left="0" w:leftChars="0" w:right="0" w:rightChars="0" w:firstLine="0" w:firstLineChars="0"/>
              <w:jc w:val="center"/>
              <w:textAlignment w:val="baseline"/>
              <w:rPr>
                <w:sz w:val="18"/>
                <w:szCs w:val="18"/>
              </w:rPr>
            </w:pPr>
          </w:p>
        </w:tc>
        <w:tc>
          <w:tcPr>
            <w:tcW w:w="4733" w:type="dxa"/>
            <w:vAlign w:val="center"/>
          </w:tcPr>
          <w:p w14:paraId="398060C1">
            <w:pPr>
              <w:snapToGrid w:val="0"/>
              <w:spacing w:before="0" w:beforeAutospacing="0" w:after="0" w:afterAutospacing="0" w:line="240" w:lineRule="auto"/>
              <w:ind w:left="0" w:leftChars="0" w:right="0" w:rightChars="0" w:firstLine="0" w:firstLineChars="0"/>
              <w:jc w:val="left"/>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Review Questions</w:t>
            </w:r>
          </w:p>
        </w:tc>
        <w:tc>
          <w:tcPr>
            <w:tcW w:w="805" w:type="dxa"/>
            <w:vAlign w:val="center"/>
          </w:tcPr>
          <w:p w14:paraId="0D0C9193">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color w:val="0D0D0D"/>
                <w:spacing w:val="0"/>
                <w:w w:val="100"/>
                <w:kern w:val="2"/>
                <w:sz w:val="18"/>
                <w:szCs w:val="18"/>
                <w:lang w:val="en-US" w:eastAsia="zh-CN" w:bidi="ar-SA"/>
              </w:rPr>
              <w:t>4</w:t>
            </w:r>
          </w:p>
        </w:tc>
        <w:tc>
          <w:tcPr>
            <w:tcW w:w="1205" w:type="dxa"/>
            <w:vAlign w:val="center"/>
          </w:tcPr>
          <w:p w14:paraId="3639767D">
            <w:pPr>
              <w:snapToGrid w:val="0"/>
              <w:spacing w:before="0" w:beforeAutospacing="0" w:after="0" w:afterAutospacing="0" w:line="240" w:lineRule="auto"/>
              <w:ind w:left="0" w:leftChars="0" w:right="0" w:rightChars="0" w:firstLine="0" w:firstLineChars="0"/>
              <w:jc w:val="center"/>
              <w:textAlignment w:val="baseline"/>
              <w:rPr>
                <w:sz w:val="18"/>
                <w:szCs w:val="18"/>
              </w:rPr>
            </w:pPr>
            <w:r>
              <w:rPr>
                <w:rStyle w:val="10"/>
                <w:rFonts w:ascii="Times New Roman" w:eastAsia="微软雅黑"/>
                <w:b w:val="0"/>
                <w:i w:val="0"/>
                <w:caps w:val="0"/>
                <w:spacing w:val="0"/>
                <w:w w:val="100"/>
                <w:kern w:val="2"/>
                <w:sz w:val="18"/>
                <w:szCs w:val="18"/>
                <w:lang w:val="en-US" w:eastAsia="zh-CN" w:bidi="ar-SA"/>
              </w:rPr>
              <w:t>Combining practice with instruction</w:t>
            </w:r>
          </w:p>
        </w:tc>
        <w:tc>
          <w:tcPr>
            <w:tcW w:w="2611" w:type="dxa"/>
            <w:vAlign w:val="center"/>
          </w:tcPr>
          <w:p w14:paraId="55837B31">
            <w:pPr>
              <w:snapToGrid w:val="0"/>
              <w:spacing w:before="0" w:beforeAutospacing="0" w:after="0" w:afterAutospacing="0" w:line="240" w:lineRule="auto"/>
              <w:ind w:left="0" w:leftChars="0" w:right="0" w:rightChars="0" w:firstLine="0" w:firstLineChars="0"/>
              <w:jc w:val="left"/>
              <w:textAlignment w:val="baseline"/>
              <w:rPr>
                <w:sz w:val="18"/>
                <w:szCs w:val="18"/>
              </w:rPr>
            </w:pPr>
          </w:p>
        </w:tc>
        <w:tc>
          <w:tcPr>
            <w:tcW w:w="636" w:type="dxa"/>
            <w:vAlign w:val="center"/>
          </w:tcPr>
          <w:p w14:paraId="3019E237">
            <w:pPr>
              <w:snapToGrid w:val="0"/>
              <w:spacing w:before="0" w:beforeAutospacing="0" w:after="0" w:afterAutospacing="0" w:line="240" w:lineRule="auto"/>
              <w:ind w:left="0" w:leftChars="0" w:right="0" w:rightChars="0" w:firstLine="0" w:firstLineChars="0"/>
              <w:jc w:val="left"/>
              <w:textAlignment w:val="baseline"/>
              <w:rPr>
                <w:sz w:val="18"/>
                <w:szCs w:val="18"/>
              </w:rPr>
            </w:pPr>
          </w:p>
        </w:tc>
      </w:tr>
      <w:tr w14:paraId="1231C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90" w:type="dxa"/>
            <w:vAlign w:val="center"/>
          </w:tcPr>
          <w:p w14:paraId="0F21B159">
            <w:pPr>
              <w:jc w:val="center"/>
              <w:rPr>
                <w:sz w:val="18"/>
                <w:szCs w:val="18"/>
              </w:rPr>
            </w:pPr>
          </w:p>
        </w:tc>
        <w:tc>
          <w:tcPr>
            <w:tcW w:w="800" w:type="dxa"/>
            <w:vAlign w:val="center"/>
          </w:tcPr>
          <w:p w14:paraId="1A9D5337">
            <w:pPr>
              <w:jc w:val="center"/>
              <w:rPr>
                <w:sz w:val="18"/>
                <w:szCs w:val="18"/>
              </w:rPr>
            </w:pPr>
          </w:p>
        </w:tc>
        <w:tc>
          <w:tcPr>
            <w:tcW w:w="1653" w:type="dxa"/>
            <w:vAlign w:val="center"/>
          </w:tcPr>
          <w:p w14:paraId="208E1B15">
            <w:pPr>
              <w:jc w:val="center"/>
              <w:rPr>
                <w:sz w:val="18"/>
                <w:szCs w:val="18"/>
              </w:rPr>
            </w:pPr>
          </w:p>
        </w:tc>
        <w:tc>
          <w:tcPr>
            <w:tcW w:w="4733" w:type="dxa"/>
            <w:vAlign w:val="center"/>
          </w:tcPr>
          <w:p w14:paraId="06B1ADA7">
            <w:pPr>
              <w:jc w:val="left"/>
              <w:rPr>
                <w:sz w:val="18"/>
                <w:szCs w:val="18"/>
              </w:rPr>
            </w:pPr>
            <w:r>
              <w:rPr>
                <w:rFonts w:hint="eastAsia"/>
                <w:sz w:val="18"/>
                <w:szCs w:val="18"/>
              </w:rPr>
              <w:tab/>
            </w:r>
            <w:r>
              <w:rPr>
                <w:rFonts w:hint="eastAsia"/>
                <w:sz w:val="18"/>
                <w:szCs w:val="18"/>
              </w:rPr>
              <w:t>Note: Given that the schedule for the Customs Competency Test varies annually, instruction on the classification of mechanical and electrical products, as well as textile products—key exam topics—is likely to be completed prior to the test.</w:t>
            </w:r>
          </w:p>
        </w:tc>
        <w:tc>
          <w:tcPr>
            <w:tcW w:w="805" w:type="dxa"/>
            <w:vAlign w:val="center"/>
          </w:tcPr>
          <w:p w14:paraId="695F9BE8">
            <w:pPr>
              <w:jc w:val="center"/>
              <w:rPr>
                <w:sz w:val="18"/>
                <w:szCs w:val="18"/>
              </w:rPr>
            </w:pPr>
          </w:p>
        </w:tc>
        <w:tc>
          <w:tcPr>
            <w:tcW w:w="1205" w:type="dxa"/>
            <w:vAlign w:val="center"/>
          </w:tcPr>
          <w:p w14:paraId="13ED14FC">
            <w:pPr>
              <w:jc w:val="center"/>
              <w:rPr>
                <w:sz w:val="18"/>
                <w:szCs w:val="18"/>
              </w:rPr>
            </w:pPr>
          </w:p>
        </w:tc>
        <w:tc>
          <w:tcPr>
            <w:tcW w:w="2611" w:type="dxa"/>
            <w:vAlign w:val="center"/>
          </w:tcPr>
          <w:p w14:paraId="094ACB23">
            <w:pPr>
              <w:jc w:val="center"/>
              <w:rPr>
                <w:sz w:val="18"/>
                <w:szCs w:val="18"/>
              </w:rPr>
            </w:pPr>
          </w:p>
        </w:tc>
        <w:tc>
          <w:tcPr>
            <w:tcW w:w="636" w:type="dxa"/>
            <w:vAlign w:val="center"/>
          </w:tcPr>
          <w:p w14:paraId="155FAB0D">
            <w:pPr>
              <w:jc w:val="center"/>
              <w:rPr>
                <w:sz w:val="18"/>
                <w:szCs w:val="18"/>
              </w:rPr>
            </w:pPr>
          </w:p>
        </w:tc>
      </w:tr>
      <w:tr w14:paraId="23B9F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90" w:type="dxa"/>
            <w:vAlign w:val="center"/>
          </w:tcPr>
          <w:p w14:paraId="19C8EE51">
            <w:pPr>
              <w:jc w:val="center"/>
              <w:rPr>
                <w:sz w:val="18"/>
                <w:szCs w:val="18"/>
              </w:rPr>
            </w:pPr>
          </w:p>
        </w:tc>
        <w:tc>
          <w:tcPr>
            <w:tcW w:w="800" w:type="dxa"/>
            <w:vAlign w:val="center"/>
          </w:tcPr>
          <w:p w14:paraId="4C6B48EE">
            <w:pPr>
              <w:jc w:val="center"/>
              <w:rPr>
                <w:sz w:val="18"/>
                <w:szCs w:val="18"/>
              </w:rPr>
            </w:pPr>
          </w:p>
        </w:tc>
        <w:tc>
          <w:tcPr>
            <w:tcW w:w="1653" w:type="dxa"/>
            <w:vAlign w:val="center"/>
          </w:tcPr>
          <w:p w14:paraId="4AD9B272">
            <w:pPr>
              <w:jc w:val="center"/>
              <w:rPr>
                <w:sz w:val="18"/>
                <w:szCs w:val="18"/>
              </w:rPr>
            </w:pPr>
          </w:p>
        </w:tc>
        <w:tc>
          <w:tcPr>
            <w:tcW w:w="4733" w:type="dxa"/>
            <w:vAlign w:val="center"/>
          </w:tcPr>
          <w:p w14:paraId="1C9F8D0B">
            <w:pPr>
              <w:jc w:val="center"/>
              <w:rPr>
                <w:sz w:val="18"/>
                <w:szCs w:val="18"/>
              </w:rPr>
            </w:pPr>
          </w:p>
        </w:tc>
        <w:tc>
          <w:tcPr>
            <w:tcW w:w="805" w:type="dxa"/>
            <w:vAlign w:val="center"/>
          </w:tcPr>
          <w:p w14:paraId="2FF2995E">
            <w:pPr>
              <w:jc w:val="center"/>
              <w:rPr>
                <w:sz w:val="18"/>
                <w:szCs w:val="18"/>
              </w:rPr>
            </w:pPr>
          </w:p>
        </w:tc>
        <w:tc>
          <w:tcPr>
            <w:tcW w:w="1205" w:type="dxa"/>
            <w:vAlign w:val="center"/>
          </w:tcPr>
          <w:p w14:paraId="08F271BC">
            <w:pPr>
              <w:jc w:val="center"/>
              <w:rPr>
                <w:sz w:val="18"/>
                <w:szCs w:val="18"/>
              </w:rPr>
            </w:pPr>
          </w:p>
        </w:tc>
        <w:tc>
          <w:tcPr>
            <w:tcW w:w="2611" w:type="dxa"/>
            <w:vAlign w:val="center"/>
          </w:tcPr>
          <w:p w14:paraId="5801F0D1">
            <w:pPr>
              <w:jc w:val="center"/>
              <w:rPr>
                <w:sz w:val="18"/>
                <w:szCs w:val="18"/>
              </w:rPr>
            </w:pPr>
          </w:p>
        </w:tc>
        <w:tc>
          <w:tcPr>
            <w:tcW w:w="636" w:type="dxa"/>
            <w:vAlign w:val="center"/>
          </w:tcPr>
          <w:p w14:paraId="5D80729E">
            <w:pPr>
              <w:jc w:val="center"/>
              <w:rPr>
                <w:sz w:val="18"/>
                <w:szCs w:val="18"/>
              </w:rPr>
            </w:pPr>
          </w:p>
        </w:tc>
      </w:tr>
      <w:tr w14:paraId="59F10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90" w:type="dxa"/>
            <w:vAlign w:val="center"/>
          </w:tcPr>
          <w:p w14:paraId="307C766B">
            <w:pPr>
              <w:jc w:val="center"/>
              <w:rPr>
                <w:sz w:val="18"/>
                <w:szCs w:val="18"/>
              </w:rPr>
            </w:pPr>
          </w:p>
        </w:tc>
        <w:tc>
          <w:tcPr>
            <w:tcW w:w="800" w:type="dxa"/>
            <w:vAlign w:val="center"/>
          </w:tcPr>
          <w:p w14:paraId="31D7B446">
            <w:pPr>
              <w:jc w:val="center"/>
              <w:rPr>
                <w:sz w:val="18"/>
                <w:szCs w:val="18"/>
              </w:rPr>
            </w:pPr>
          </w:p>
        </w:tc>
        <w:tc>
          <w:tcPr>
            <w:tcW w:w="1653" w:type="dxa"/>
            <w:vAlign w:val="center"/>
          </w:tcPr>
          <w:p w14:paraId="3B2BAD42">
            <w:pPr>
              <w:jc w:val="center"/>
              <w:rPr>
                <w:sz w:val="18"/>
                <w:szCs w:val="18"/>
              </w:rPr>
            </w:pPr>
          </w:p>
        </w:tc>
        <w:tc>
          <w:tcPr>
            <w:tcW w:w="4733" w:type="dxa"/>
            <w:vAlign w:val="center"/>
          </w:tcPr>
          <w:p w14:paraId="15A28FED">
            <w:pPr>
              <w:jc w:val="center"/>
              <w:rPr>
                <w:sz w:val="18"/>
                <w:szCs w:val="18"/>
              </w:rPr>
            </w:pPr>
          </w:p>
        </w:tc>
        <w:tc>
          <w:tcPr>
            <w:tcW w:w="805" w:type="dxa"/>
            <w:vAlign w:val="center"/>
          </w:tcPr>
          <w:p w14:paraId="18782D80">
            <w:pPr>
              <w:jc w:val="center"/>
              <w:rPr>
                <w:sz w:val="18"/>
                <w:szCs w:val="18"/>
              </w:rPr>
            </w:pPr>
          </w:p>
        </w:tc>
        <w:tc>
          <w:tcPr>
            <w:tcW w:w="1205" w:type="dxa"/>
            <w:vAlign w:val="center"/>
          </w:tcPr>
          <w:p w14:paraId="55763608">
            <w:pPr>
              <w:jc w:val="center"/>
              <w:rPr>
                <w:sz w:val="18"/>
                <w:szCs w:val="18"/>
              </w:rPr>
            </w:pPr>
          </w:p>
        </w:tc>
        <w:tc>
          <w:tcPr>
            <w:tcW w:w="2611" w:type="dxa"/>
            <w:vAlign w:val="center"/>
          </w:tcPr>
          <w:p w14:paraId="3303A307">
            <w:pPr>
              <w:jc w:val="center"/>
              <w:rPr>
                <w:sz w:val="18"/>
                <w:szCs w:val="18"/>
              </w:rPr>
            </w:pPr>
          </w:p>
        </w:tc>
        <w:tc>
          <w:tcPr>
            <w:tcW w:w="636" w:type="dxa"/>
          </w:tcPr>
          <w:p w14:paraId="2D922061">
            <w:pPr>
              <w:jc w:val="center"/>
              <w:rPr>
                <w:sz w:val="18"/>
                <w:szCs w:val="18"/>
              </w:rPr>
            </w:pPr>
          </w:p>
        </w:tc>
      </w:tr>
    </w:tbl>
    <w:p w14:paraId="582CBF27">
      <w:pPr>
        <w:jc w:val="center"/>
        <w:rPr>
          <w:sz w:val="18"/>
          <w:szCs w:val="18"/>
        </w:rPr>
      </w:pPr>
    </w:p>
    <w:sectPr>
      <w:headerReference r:id="rId3" w:type="default"/>
      <w:footerReference r:id="rId4" w:type="default"/>
      <w:pgSz w:w="16840" w:h="11907" w:orient="landscape"/>
      <w:pgMar w:top="1418" w:right="1134" w:bottom="1418" w:left="1134" w:header="1191" w:footer="1191" w:gutter="0"/>
      <w:pgNumType w:start="1"/>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embedRegular r:id="rId1" w:fontKey="{EBA445E7-564E-4E43-9117-250E1C7FFC4C}"/>
  </w:font>
  <w:font w:name="微软雅黑">
    <w:panose1 w:val="020B0503020204020204"/>
    <w:charset w:val="86"/>
    <w:family w:val="swiss"/>
    <w:pitch w:val="default"/>
    <w:sig w:usb0="80000287" w:usb1="2ACF3C50" w:usb2="00000016" w:usb3="00000000" w:csb0="0004001F" w:csb1="00000000"/>
    <w:embedRegular r:id="rId2" w:fontKey="{1A0E8EFA-5EC9-4D7D-99F8-3557A4FA6F65}"/>
  </w:font>
  <w:font w:name="华文行楷">
    <w:panose1 w:val="02010800040101010101"/>
    <w:charset w:val="86"/>
    <w:family w:val="auto"/>
    <w:pitch w:val="default"/>
    <w:sig w:usb0="00000001" w:usb1="080F0000" w:usb2="00000000" w:usb3="00000000" w:csb0="00040000" w:csb1="00000000"/>
  </w:font>
  <w:font w:name="隶书">
    <w:panose1 w:val="02010509060101010101"/>
    <w:charset w:val="86"/>
    <w:family w:val="modern"/>
    <w:pitch w:val="default"/>
    <w:sig w:usb0="00000001" w:usb1="080E0000" w:usb2="00000000" w:usb3="00000000" w:csb0="00040000" w:csb1="00000000"/>
    <w:embedRegular r:id="rId3" w:fontKey="{AC1088D3-F334-4295-9348-66B81D096201}"/>
  </w:font>
  <w:font w:name="Times New Roman Bold">
    <w:panose1 w:val="02020803070505020304"/>
    <w:charset w:val="00"/>
    <w:family w:val="auto"/>
    <w:pitch w:val="default"/>
    <w:sig w:usb0="00000000" w:usb1="00000000" w:usb2="00000001" w:usb3="00000000" w:csb0="400001BF" w:csb1="DFF70000"/>
    <w:embedRegular r:id="rId4" w:fontKey="{F909492B-A494-4C2E-9DF2-D0567170B26F}"/>
  </w:font>
  <w:font w:name="微软简行楷">
    <w:altName w:val="华文行楷"/>
    <w:panose1 w:val="00000000000000000000"/>
    <w:charset w:val="86"/>
    <w:family w:val="auto"/>
    <w:pitch w:val="default"/>
    <w:sig w:usb0="00000000" w:usb1="00000000" w:usb2="00000010" w:usb3="00000000" w:csb0="00040000" w:csb1="00000000"/>
    <w:embedRegular r:id="rId5" w:fontKey="{7235EC0A-8641-4F35-AD07-C6D40929BEC0}"/>
  </w:font>
  <w:font w:name="Segoe UI">
    <w:panose1 w:val="020B0502040204020203"/>
    <w:charset w:val="00"/>
    <w:family w:val="swiss"/>
    <w:pitch w:val="default"/>
    <w:sig w:usb0="E4002EFF" w:usb1="C000E47F" w:usb2="00000009" w:usb3="00000000" w:csb0="200001FF" w:csb1="00000000"/>
    <w:embedRegular r:id="rId6" w:fontKey="{0AECBAB3-AB4C-4DF5-934C-3B689E44B740}"/>
  </w:font>
  <w:font w:name="微软简魏碑">
    <w:altName w:val="宋体"/>
    <w:panose1 w:val="00000000000000000000"/>
    <w:charset w:val="86"/>
    <w:family w:val="auto"/>
    <w:pitch w:val="default"/>
    <w:sig w:usb0="00000000" w:usb1="00000000" w:usb2="00000010" w:usb3="00000000" w:csb0="00040000" w:csb1="00000000"/>
    <w:embedRegular r:id="rId7" w:fontKey="{68BC31CD-33D6-4429-8CF8-7BE90EA952C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2AF15">
    <w:pPr>
      <w:jc w:val="left"/>
    </w:pPr>
    <w:r>
      <w:rPr>
        <w:rFonts w:hint="eastAsia"/>
      </w:rPr>
      <w:t>Note: 1. Teaching content must be arranged according to a specific weekly schedule;</w:t>
    </w:r>
  </w:p>
  <w:p w14:paraId="7EF37F0F">
    <w:pPr>
      <w:pStyle w:val="3"/>
    </w:pPr>
    <w:r>
      <w:rPr>
        <w:rFonts w:hint="eastAsia"/>
      </w:rPr>
      <w:t xml:space="preserve">   2. The total hours arranged in the teaching schedule must be counted in conjunction with the class hours.</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FFA05">
    <w:pPr>
      <w:pStyle w:val="2"/>
      <w:jc w:val="center"/>
      <w:rPr>
        <w:rFonts w:eastAsia="微软简魏碑"/>
        <w:sz w:val="44"/>
        <w:szCs w:val="44"/>
      </w:rPr>
    </w:pPr>
    <w:r>
      <w:rPr>
        <w:rFonts w:hint="eastAsia" w:eastAsia="微软简魏碑"/>
        <w:sz w:val="44"/>
        <w:szCs w:val="44"/>
      </w:rPr>
      <w:t>Teaching content and progress arrangement</w:t>
    </w:r>
  </w:p>
  <w:p w14:paraId="5F7786B4">
    <w:pPr>
      <w:ind w:right="720"/>
      <w:jc w:val="right"/>
      <w:rPr>
        <w:sz w:val="36"/>
        <w:szCs w:val="36"/>
      </w:rPr>
    </w:pPr>
    <w:r>
      <w:rPr>
        <w:rFonts w:hint="eastAsia"/>
        <w:sz w:val="36"/>
        <w:szCs w:val="36"/>
      </w:rPr>
      <w:t xml:space="preserve">No   </w:t>
    </w:r>
    <w:r>
      <w:rPr>
        <w:rStyle w:val="8"/>
        <w:sz w:val="36"/>
        <w:szCs w:val="36"/>
      </w:rPr>
      <w:fldChar w:fldCharType="begin"/>
    </w:r>
    <w:r>
      <w:rPr>
        <w:rStyle w:val="8"/>
        <w:sz w:val="36"/>
        <w:szCs w:val="36"/>
      </w:rPr>
      <w:instrText xml:space="preserve"> PAGE </w:instrText>
    </w:r>
    <w:r>
      <w:rPr>
        <w:rStyle w:val="8"/>
        <w:sz w:val="36"/>
        <w:szCs w:val="36"/>
      </w:rPr>
      <w:fldChar w:fldCharType="separate"/>
    </w:r>
    <w:r>
      <w:rPr>
        <w:rStyle w:val="8"/>
        <w:sz w:val="36"/>
        <w:szCs w:val="36"/>
      </w:rPr>
      <w:t>3</w:t>
    </w:r>
    <w:r>
      <w:rPr>
        <w:rStyle w:val="8"/>
        <w:sz w:val="36"/>
        <w:szCs w:val="36"/>
      </w:rPr>
      <w:fldChar w:fldCharType="end"/>
    </w:r>
    <w:r>
      <w:rPr>
        <w:rFonts w:hint="eastAsia"/>
        <w:sz w:val="36"/>
        <w:szCs w:val="36"/>
      </w:rPr>
      <w:t xml:space="preserve">   Page</w:t>
    </w:r>
  </w:p>
  <w:p w14:paraId="07778F05">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D95"/>
    <w:rsid w:val="0000506F"/>
    <w:rsid w:val="00007214"/>
    <w:rsid w:val="00012D1E"/>
    <w:rsid w:val="000167B4"/>
    <w:rsid w:val="00031CE7"/>
    <w:rsid w:val="00056FA3"/>
    <w:rsid w:val="00060E93"/>
    <w:rsid w:val="00061BD6"/>
    <w:rsid w:val="00062DD5"/>
    <w:rsid w:val="000639A6"/>
    <w:rsid w:val="00066F9D"/>
    <w:rsid w:val="000739CB"/>
    <w:rsid w:val="000753EB"/>
    <w:rsid w:val="00075E92"/>
    <w:rsid w:val="000864B2"/>
    <w:rsid w:val="000906C8"/>
    <w:rsid w:val="000C47AC"/>
    <w:rsid w:val="000C4E9D"/>
    <w:rsid w:val="000C5226"/>
    <w:rsid w:val="000D2178"/>
    <w:rsid w:val="000D602B"/>
    <w:rsid w:val="000D7841"/>
    <w:rsid w:val="000E051F"/>
    <w:rsid w:val="000E4593"/>
    <w:rsid w:val="000E65E2"/>
    <w:rsid w:val="000F4749"/>
    <w:rsid w:val="00101BC9"/>
    <w:rsid w:val="0011045A"/>
    <w:rsid w:val="00113655"/>
    <w:rsid w:val="001231D4"/>
    <w:rsid w:val="00160F28"/>
    <w:rsid w:val="001741EC"/>
    <w:rsid w:val="001819F7"/>
    <w:rsid w:val="001846BE"/>
    <w:rsid w:val="001935EE"/>
    <w:rsid w:val="00195E39"/>
    <w:rsid w:val="001A7157"/>
    <w:rsid w:val="001A772A"/>
    <w:rsid w:val="001C02C8"/>
    <w:rsid w:val="001C2F36"/>
    <w:rsid w:val="001C76F5"/>
    <w:rsid w:val="001D59FF"/>
    <w:rsid w:val="001E3E06"/>
    <w:rsid w:val="0020001F"/>
    <w:rsid w:val="002002F2"/>
    <w:rsid w:val="002033EB"/>
    <w:rsid w:val="00203625"/>
    <w:rsid w:val="00204667"/>
    <w:rsid w:val="00210A0D"/>
    <w:rsid w:val="002113DF"/>
    <w:rsid w:val="00212ED7"/>
    <w:rsid w:val="0021687E"/>
    <w:rsid w:val="0023336C"/>
    <w:rsid w:val="0024238D"/>
    <w:rsid w:val="00252851"/>
    <w:rsid w:val="00254DE6"/>
    <w:rsid w:val="002551A1"/>
    <w:rsid w:val="00257FEB"/>
    <w:rsid w:val="0026184A"/>
    <w:rsid w:val="00263308"/>
    <w:rsid w:val="0027392D"/>
    <w:rsid w:val="00281AF9"/>
    <w:rsid w:val="00283B42"/>
    <w:rsid w:val="002945E1"/>
    <w:rsid w:val="002B0A0A"/>
    <w:rsid w:val="002C3E3B"/>
    <w:rsid w:val="002C3E4C"/>
    <w:rsid w:val="002C5A0C"/>
    <w:rsid w:val="002D789C"/>
    <w:rsid w:val="002E17FD"/>
    <w:rsid w:val="002E26FC"/>
    <w:rsid w:val="002E31BC"/>
    <w:rsid w:val="002F448B"/>
    <w:rsid w:val="002F49AE"/>
    <w:rsid w:val="00302B8B"/>
    <w:rsid w:val="00304004"/>
    <w:rsid w:val="00320C1F"/>
    <w:rsid w:val="00320F0B"/>
    <w:rsid w:val="00324F1A"/>
    <w:rsid w:val="003268B2"/>
    <w:rsid w:val="003377E6"/>
    <w:rsid w:val="00342CF0"/>
    <w:rsid w:val="00353858"/>
    <w:rsid w:val="00360A68"/>
    <w:rsid w:val="00362E2C"/>
    <w:rsid w:val="0036581F"/>
    <w:rsid w:val="00366A2F"/>
    <w:rsid w:val="00380012"/>
    <w:rsid w:val="00384D28"/>
    <w:rsid w:val="00390F59"/>
    <w:rsid w:val="00393BB1"/>
    <w:rsid w:val="003944BA"/>
    <w:rsid w:val="00394C68"/>
    <w:rsid w:val="003951CF"/>
    <w:rsid w:val="003A6522"/>
    <w:rsid w:val="003A6547"/>
    <w:rsid w:val="003B0442"/>
    <w:rsid w:val="003B3B86"/>
    <w:rsid w:val="003C3443"/>
    <w:rsid w:val="003C760B"/>
    <w:rsid w:val="003D02B9"/>
    <w:rsid w:val="003D55C7"/>
    <w:rsid w:val="003F71D8"/>
    <w:rsid w:val="0040109F"/>
    <w:rsid w:val="004173A5"/>
    <w:rsid w:val="00420E4C"/>
    <w:rsid w:val="0045341F"/>
    <w:rsid w:val="00461BBE"/>
    <w:rsid w:val="00465E9C"/>
    <w:rsid w:val="00467FE4"/>
    <w:rsid w:val="004711D3"/>
    <w:rsid w:val="0047540B"/>
    <w:rsid w:val="004873CC"/>
    <w:rsid w:val="00490CA9"/>
    <w:rsid w:val="00494B00"/>
    <w:rsid w:val="004A3E2B"/>
    <w:rsid w:val="004B0426"/>
    <w:rsid w:val="004B3442"/>
    <w:rsid w:val="004D08D6"/>
    <w:rsid w:val="004D1379"/>
    <w:rsid w:val="004D2D93"/>
    <w:rsid w:val="004E00D8"/>
    <w:rsid w:val="004E2924"/>
    <w:rsid w:val="004E6909"/>
    <w:rsid w:val="004F1B1C"/>
    <w:rsid w:val="004F2610"/>
    <w:rsid w:val="00501A97"/>
    <w:rsid w:val="005036A3"/>
    <w:rsid w:val="00507D3F"/>
    <w:rsid w:val="00510975"/>
    <w:rsid w:val="0052259E"/>
    <w:rsid w:val="005234CA"/>
    <w:rsid w:val="00526747"/>
    <w:rsid w:val="005311F6"/>
    <w:rsid w:val="00546197"/>
    <w:rsid w:val="0056520F"/>
    <w:rsid w:val="005717A6"/>
    <w:rsid w:val="005757A5"/>
    <w:rsid w:val="0059110A"/>
    <w:rsid w:val="0059519F"/>
    <w:rsid w:val="005962D3"/>
    <w:rsid w:val="00596C59"/>
    <w:rsid w:val="005A5647"/>
    <w:rsid w:val="005B0B07"/>
    <w:rsid w:val="005B2BCE"/>
    <w:rsid w:val="005C6DBE"/>
    <w:rsid w:val="005D02B4"/>
    <w:rsid w:val="005D6504"/>
    <w:rsid w:val="005D6760"/>
    <w:rsid w:val="005D794A"/>
    <w:rsid w:val="005F2F86"/>
    <w:rsid w:val="005F38B8"/>
    <w:rsid w:val="005F5709"/>
    <w:rsid w:val="0060670C"/>
    <w:rsid w:val="00607E6F"/>
    <w:rsid w:val="00623274"/>
    <w:rsid w:val="00623B4D"/>
    <w:rsid w:val="006329E0"/>
    <w:rsid w:val="006360F5"/>
    <w:rsid w:val="00641F39"/>
    <w:rsid w:val="00644072"/>
    <w:rsid w:val="00651FC2"/>
    <w:rsid w:val="00662BB7"/>
    <w:rsid w:val="00672188"/>
    <w:rsid w:val="00676909"/>
    <w:rsid w:val="0068533A"/>
    <w:rsid w:val="006906F9"/>
    <w:rsid w:val="006924E9"/>
    <w:rsid w:val="00692D10"/>
    <w:rsid w:val="006B0753"/>
    <w:rsid w:val="006B370E"/>
    <w:rsid w:val="006E503C"/>
    <w:rsid w:val="006E61AF"/>
    <w:rsid w:val="006F0CA5"/>
    <w:rsid w:val="006F1944"/>
    <w:rsid w:val="006F7821"/>
    <w:rsid w:val="007015D3"/>
    <w:rsid w:val="00702EFB"/>
    <w:rsid w:val="00720847"/>
    <w:rsid w:val="0072348D"/>
    <w:rsid w:val="00723D8A"/>
    <w:rsid w:val="007264AD"/>
    <w:rsid w:val="007305D1"/>
    <w:rsid w:val="00730E23"/>
    <w:rsid w:val="007363E4"/>
    <w:rsid w:val="00743E39"/>
    <w:rsid w:val="00754729"/>
    <w:rsid w:val="007602B1"/>
    <w:rsid w:val="0076337D"/>
    <w:rsid w:val="00773002"/>
    <w:rsid w:val="00775ABA"/>
    <w:rsid w:val="0078452C"/>
    <w:rsid w:val="00786605"/>
    <w:rsid w:val="00797709"/>
    <w:rsid w:val="007A70D2"/>
    <w:rsid w:val="007B3B0E"/>
    <w:rsid w:val="007C2039"/>
    <w:rsid w:val="007C2F10"/>
    <w:rsid w:val="007C38D0"/>
    <w:rsid w:val="007C6976"/>
    <w:rsid w:val="007D346B"/>
    <w:rsid w:val="007E2FF5"/>
    <w:rsid w:val="007F07C2"/>
    <w:rsid w:val="007F4291"/>
    <w:rsid w:val="007F6143"/>
    <w:rsid w:val="00804945"/>
    <w:rsid w:val="008075C3"/>
    <w:rsid w:val="008224C7"/>
    <w:rsid w:val="008409F3"/>
    <w:rsid w:val="00844105"/>
    <w:rsid w:val="0086113D"/>
    <w:rsid w:val="00866BEF"/>
    <w:rsid w:val="0088033C"/>
    <w:rsid w:val="0088577B"/>
    <w:rsid w:val="00886CF9"/>
    <w:rsid w:val="00890817"/>
    <w:rsid w:val="008A0817"/>
    <w:rsid w:val="008A1A16"/>
    <w:rsid w:val="008C71A0"/>
    <w:rsid w:val="008D2252"/>
    <w:rsid w:val="008D3DE2"/>
    <w:rsid w:val="008D753F"/>
    <w:rsid w:val="008E56D0"/>
    <w:rsid w:val="008E7DB9"/>
    <w:rsid w:val="008F5949"/>
    <w:rsid w:val="00902509"/>
    <w:rsid w:val="00917F5A"/>
    <w:rsid w:val="00930FBD"/>
    <w:rsid w:val="00935DB4"/>
    <w:rsid w:val="00945255"/>
    <w:rsid w:val="00947A92"/>
    <w:rsid w:val="009511AC"/>
    <w:rsid w:val="0095454B"/>
    <w:rsid w:val="009556B6"/>
    <w:rsid w:val="00965C24"/>
    <w:rsid w:val="00967138"/>
    <w:rsid w:val="00971841"/>
    <w:rsid w:val="00972199"/>
    <w:rsid w:val="009745A1"/>
    <w:rsid w:val="0098413E"/>
    <w:rsid w:val="00986E33"/>
    <w:rsid w:val="00987112"/>
    <w:rsid w:val="00992D09"/>
    <w:rsid w:val="009934E2"/>
    <w:rsid w:val="009A371C"/>
    <w:rsid w:val="009A6104"/>
    <w:rsid w:val="009C7DBE"/>
    <w:rsid w:val="009E1A90"/>
    <w:rsid w:val="009E1C0A"/>
    <w:rsid w:val="009E2710"/>
    <w:rsid w:val="009E27C9"/>
    <w:rsid w:val="009E58D8"/>
    <w:rsid w:val="009F405F"/>
    <w:rsid w:val="009F529C"/>
    <w:rsid w:val="009F602A"/>
    <w:rsid w:val="00A009A6"/>
    <w:rsid w:val="00A177B6"/>
    <w:rsid w:val="00A273EF"/>
    <w:rsid w:val="00A32C06"/>
    <w:rsid w:val="00A361F6"/>
    <w:rsid w:val="00A41ECF"/>
    <w:rsid w:val="00A45EE9"/>
    <w:rsid w:val="00A54ADA"/>
    <w:rsid w:val="00A54CD6"/>
    <w:rsid w:val="00A57709"/>
    <w:rsid w:val="00A63EEB"/>
    <w:rsid w:val="00A7494C"/>
    <w:rsid w:val="00A840A3"/>
    <w:rsid w:val="00A9592A"/>
    <w:rsid w:val="00AA514A"/>
    <w:rsid w:val="00AB06AC"/>
    <w:rsid w:val="00AB178C"/>
    <w:rsid w:val="00AB3110"/>
    <w:rsid w:val="00AB46D3"/>
    <w:rsid w:val="00AD352B"/>
    <w:rsid w:val="00AD7913"/>
    <w:rsid w:val="00AE2D8B"/>
    <w:rsid w:val="00AF7B71"/>
    <w:rsid w:val="00B061D5"/>
    <w:rsid w:val="00B10622"/>
    <w:rsid w:val="00B13100"/>
    <w:rsid w:val="00B15FA3"/>
    <w:rsid w:val="00B175C3"/>
    <w:rsid w:val="00B240E5"/>
    <w:rsid w:val="00B24B19"/>
    <w:rsid w:val="00B35234"/>
    <w:rsid w:val="00B37271"/>
    <w:rsid w:val="00B46840"/>
    <w:rsid w:val="00B47044"/>
    <w:rsid w:val="00B47407"/>
    <w:rsid w:val="00B60E2C"/>
    <w:rsid w:val="00B61799"/>
    <w:rsid w:val="00B7548B"/>
    <w:rsid w:val="00B81985"/>
    <w:rsid w:val="00B86B95"/>
    <w:rsid w:val="00B91893"/>
    <w:rsid w:val="00B93DA6"/>
    <w:rsid w:val="00BD2660"/>
    <w:rsid w:val="00BD5BA5"/>
    <w:rsid w:val="00BD79C2"/>
    <w:rsid w:val="00BE41F1"/>
    <w:rsid w:val="00BE4E7C"/>
    <w:rsid w:val="00BE72D7"/>
    <w:rsid w:val="00BF2F99"/>
    <w:rsid w:val="00BF6B5B"/>
    <w:rsid w:val="00C07E0E"/>
    <w:rsid w:val="00C11260"/>
    <w:rsid w:val="00C11441"/>
    <w:rsid w:val="00C1252C"/>
    <w:rsid w:val="00C1320B"/>
    <w:rsid w:val="00C1404E"/>
    <w:rsid w:val="00C140ED"/>
    <w:rsid w:val="00C14F03"/>
    <w:rsid w:val="00C20EFA"/>
    <w:rsid w:val="00C2161E"/>
    <w:rsid w:val="00C2418F"/>
    <w:rsid w:val="00C26638"/>
    <w:rsid w:val="00C346A6"/>
    <w:rsid w:val="00C4384D"/>
    <w:rsid w:val="00C44CCF"/>
    <w:rsid w:val="00C57794"/>
    <w:rsid w:val="00C6488C"/>
    <w:rsid w:val="00C64BC4"/>
    <w:rsid w:val="00C74908"/>
    <w:rsid w:val="00C801D3"/>
    <w:rsid w:val="00C829CB"/>
    <w:rsid w:val="00C832FA"/>
    <w:rsid w:val="00C85AE0"/>
    <w:rsid w:val="00C9293D"/>
    <w:rsid w:val="00C954A2"/>
    <w:rsid w:val="00CA5093"/>
    <w:rsid w:val="00CA78A1"/>
    <w:rsid w:val="00CB0144"/>
    <w:rsid w:val="00CB422B"/>
    <w:rsid w:val="00CB7E9B"/>
    <w:rsid w:val="00CC1319"/>
    <w:rsid w:val="00CC2057"/>
    <w:rsid w:val="00CD13E3"/>
    <w:rsid w:val="00CD352F"/>
    <w:rsid w:val="00CD3AD0"/>
    <w:rsid w:val="00CD5DD6"/>
    <w:rsid w:val="00CE530F"/>
    <w:rsid w:val="00CF2344"/>
    <w:rsid w:val="00CF4805"/>
    <w:rsid w:val="00CF4F21"/>
    <w:rsid w:val="00D0583D"/>
    <w:rsid w:val="00D10EB9"/>
    <w:rsid w:val="00D2465B"/>
    <w:rsid w:val="00D26F52"/>
    <w:rsid w:val="00D36A83"/>
    <w:rsid w:val="00D4072D"/>
    <w:rsid w:val="00D45C86"/>
    <w:rsid w:val="00D47E45"/>
    <w:rsid w:val="00D52F68"/>
    <w:rsid w:val="00D633F7"/>
    <w:rsid w:val="00D70727"/>
    <w:rsid w:val="00D73C6A"/>
    <w:rsid w:val="00D80185"/>
    <w:rsid w:val="00D8046F"/>
    <w:rsid w:val="00D81D94"/>
    <w:rsid w:val="00D84D8D"/>
    <w:rsid w:val="00D8787E"/>
    <w:rsid w:val="00D87E31"/>
    <w:rsid w:val="00D95E4B"/>
    <w:rsid w:val="00DB2434"/>
    <w:rsid w:val="00DB2AD6"/>
    <w:rsid w:val="00DB4779"/>
    <w:rsid w:val="00DB543A"/>
    <w:rsid w:val="00DB6D57"/>
    <w:rsid w:val="00DC0751"/>
    <w:rsid w:val="00DC193B"/>
    <w:rsid w:val="00DC37E7"/>
    <w:rsid w:val="00DC61F8"/>
    <w:rsid w:val="00DC7E95"/>
    <w:rsid w:val="00E00255"/>
    <w:rsid w:val="00E062D6"/>
    <w:rsid w:val="00E10C19"/>
    <w:rsid w:val="00E1163C"/>
    <w:rsid w:val="00E227EF"/>
    <w:rsid w:val="00E2795B"/>
    <w:rsid w:val="00E3380E"/>
    <w:rsid w:val="00E33ECC"/>
    <w:rsid w:val="00E34AB8"/>
    <w:rsid w:val="00E3620F"/>
    <w:rsid w:val="00E40E3E"/>
    <w:rsid w:val="00E440BC"/>
    <w:rsid w:val="00E54576"/>
    <w:rsid w:val="00E56ABB"/>
    <w:rsid w:val="00E646F7"/>
    <w:rsid w:val="00E64DA6"/>
    <w:rsid w:val="00E82F01"/>
    <w:rsid w:val="00E83D71"/>
    <w:rsid w:val="00E86EA6"/>
    <w:rsid w:val="00EA0AD7"/>
    <w:rsid w:val="00EB1AFE"/>
    <w:rsid w:val="00EB4B1B"/>
    <w:rsid w:val="00EB4DC4"/>
    <w:rsid w:val="00ED2035"/>
    <w:rsid w:val="00ED3E3A"/>
    <w:rsid w:val="00EE0226"/>
    <w:rsid w:val="00EE46D5"/>
    <w:rsid w:val="00EF1944"/>
    <w:rsid w:val="00EF493A"/>
    <w:rsid w:val="00EF5C1D"/>
    <w:rsid w:val="00EF63CF"/>
    <w:rsid w:val="00F03E1F"/>
    <w:rsid w:val="00F21A03"/>
    <w:rsid w:val="00F26AF9"/>
    <w:rsid w:val="00F30A06"/>
    <w:rsid w:val="00F32228"/>
    <w:rsid w:val="00F33381"/>
    <w:rsid w:val="00F34DE4"/>
    <w:rsid w:val="00F42D95"/>
    <w:rsid w:val="00F50180"/>
    <w:rsid w:val="00F506EC"/>
    <w:rsid w:val="00F51C93"/>
    <w:rsid w:val="00F6157E"/>
    <w:rsid w:val="00F63478"/>
    <w:rsid w:val="00F74E64"/>
    <w:rsid w:val="00F80049"/>
    <w:rsid w:val="00F8367C"/>
    <w:rsid w:val="00F83A60"/>
    <w:rsid w:val="00F90030"/>
    <w:rsid w:val="00F92EFD"/>
    <w:rsid w:val="00F93971"/>
    <w:rsid w:val="00F96BB5"/>
    <w:rsid w:val="00FA0ACD"/>
    <w:rsid w:val="00FA2CCD"/>
    <w:rsid w:val="00FA449F"/>
    <w:rsid w:val="00FA67B1"/>
    <w:rsid w:val="00FB6E3E"/>
    <w:rsid w:val="00FC0792"/>
    <w:rsid w:val="00FC134C"/>
    <w:rsid w:val="00FD54DC"/>
    <w:rsid w:val="00FD59FF"/>
    <w:rsid w:val="00FD6273"/>
    <w:rsid w:val="00FD6D3C"/>
    <w:rsid w:val="00FE7CCB"/>
    <w:rsid w:val="00FF3700"/>
    <w:rsid w:val="04D3630B"/>
    <w:rsid w:val="055D113B"/>
    <w:rsid w:val="08E823FA"/>
    <w:rsid w:val="0C874EE1"/>
    <w:rsid w:val="16605753"/>
    <w:rsid w:val="166B16F7"/>
    <w:rsid w:val="17B14885"/>
    <w:rsid w:val="18A85523"/>
    <w:rsid w:val="1DDF4F6B"/>
    <w:rsid w:val="2DCD70B6"/>
    <w:rsid w:val="33C32FB0"/>
    <w:rsid w:val="3B3C6790"/>
    <w:rsid w:val="3C3EE7E4"/>
    <w:rsid w:val="3EDF3CDA"/>
    <w:rsid w:val="450607FE"/>
    <w:rsid w:val="49AB5168"/>
    <w:rsid w:val="4CAE2651"/>
    <w:rsid w:val="4FBFC733"/>
    <w:rsid w:val="505265ED"/>
    <w:rsid w:val="52BF67DC"/>
    <w:rsid w:val="57D9A60A"/>
    <w:rsid w:val="59FF21BE"/>
    <w:rsid w:val="63251ED3"/>
    <w:rsid w:val="64D305FA"/>
    <w:rsid w:val="67AE46A1"/>
    <w:rsid w:val="6EC21DB2"/>
    <w:rsid w:val="6F484BE5"/>
    <w:rsid w:val="724C763F"/>
    <w:rsid w:val="763FD9CD"/>
    <w:rsid w:val="76EE235B"/>
    <w:rsid w:val="772F7842"/>
    <w:rsid w:val="774100DC"/>
    <w:rsid w:val="776F4F1A"/>
    <w:rsid w:val="77AA933F"/>
    <w:rsid w:val="785951E8"/>
    <w:rsid w:val="7A4D3C16"/>
    <w:rsid w:val="7A5DCB7C"/>
    <w:rsid w:val="7BEEA1FE"/>
    <w:rsid w:val="7BF5421F"/>
    <w:rsid w:val="7C7FA5C5"/>
    <w:rsid w:val="7E6339DA"/>
    <w:rsid w:val="7EDFDAAB"/>
    <w:rsid w:val="7F7AE760"/>
    <w:rsid w:val="9DB5936C"/>
    <w:rsid w:val="9FCE1C7A"/>
    <w:rsid w:val="A7C528F7"/>
    <w:rsid w:val="AB8FF1A9"/>
    <w:rsid w:val="BF7F6365"/>
    <w:rsid w:val="BFF71739"/>
    <w:rsid w:val="CFD5D5CE"/>
    <w:rsid w:val="DDEE3480"/>
    <w:rsid w:val="DDFF58A9"/>
    <w:rsid w:val="DEF69E8B"/>
    <w:rsid w:val="DF69BAC0"/>
    <w:rsid w:val="DFB513E3"/>
    <w:rsid w:val="E7FF826C"/>
    <w:rsid w:val="EBBFFABC"/>
    <w:rsid w:val="EF3FF2E4"/>
    <w:rsid w:val="F4E3CB79"/>
    <w:rsid w:val="F9DDAC24"/>
    <w:rsid w:val="F9FF14F5"/>
    <w:rsid w:val="FB7EFA4C"/>
    <w:rsid w:val="FBEDB2D8"/>
    <w:rsid w:val="FBFD52A4"/>
    <w:rsid w:val="FCBF2394"/>
    <w:rsid w:val="FF7C6ED9"/>
    <w:rsid w:val="FFFC4207"/>
    <w:rsid w:val="FFFD33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0"/>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qFormat/>
    <w:uiPriority w:val="0"/>
  </w:style>
  <w:style w:type="character" w:styleId="9">
    <w:name w:val="Placeholder Text"/>
    <w:basedOn w:val="7"/>
    <w:unhideWhenUsed/>
    <w:qFormat/>
    <w:uiPriority w:val="99"/>
    <w:rPr>
      <w:color w:val="666666"/>
    </w:rPr>
  </w:style>
  <w:style w:type="character" w:customStyle="1" w:styleId="10">
    <w:name w:val="NormalCharacter"/>
    <w:link w:val="1"/>
    <w:semiHidden/>
    <w:qFormat/>
    <w:uiPriority w:val="0"/>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http://schemas.openxmlformats.org/officeDocument/2006/bibliography"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2D2AAE6-8546-4730-BF72-94173816784D}">
  <ds:schemaRefs/>
</ds:datastoreItem>
</file>

<file path=docProps/app.xml><?xml version="1.0" encoding="utf-8"?>
<Properties xmlns="http://schemas.openxmlformats.org/officeDocument/2006/extended-properties" xmlns:vt="http://schemas.openxmlformats.org/officeDocument/2006/docPropsVTypes">
  <Template>Normal</Template>
  <Company>MS</Company>
  <Pages>6</Pages>
  <Words>1516</Words>
  <Characters>9533</Characters>
  <Lines>76</Lines>
  <Paragraphs>21</Paragraphs>
  <TotalTime>1</TotalTime>
  <ScaleCrop>false</ScaleCrop>
  <LinksUpToDate>false</LinksUpToDate>
  <CharactersWithSpaces>10868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2026-06-04T04:15:00Z</dcterms:created>
  <dc:creator>cff</dc:creator>
  <cp:lastModifiedBy>wxl</cp:lastModifiedBy>
  <cp:lastPrinted>2026-06-04T04:14:00Z</cp:lastPrinted>
  <dcterms:modified xsi:type="dcterms:W3CDTF">2026-06-05T01:28:18Z</dcterms:modified>
  <dc:title>Teaching content and progress arrangement</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D6A333EE7ACF40CB9DB0BC43AC58DD79_13</vt:lpwstr>
  </property>
  <property fmtid="{D5CDD505-2E9C-101B-9397-08002B2CF9AE}" pid="4" name="KSOTemplateDocerSaveRecord">
    <vt:lpwstr>eyJoZGlkIjoiYmUxOWRlZjMyMGNlN2JiYzJmMGEyZjA2ZDI5YjYwYmIiLCJ1c2VySWQiOiI0NDg0ODIzODgifQ==</vt:lpwstr>
  </property>
</Properties>
</file>